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keepNext w:val="0"/>
        <w:keepLines w:val="0"/>
        <w:pageBreakBefore w:val="0"/>
        <w:widowControl w:val="0"/>
        <w:kinsoku/>
        <w:wordWrap/>
        <w:overflowPunct/>
        <w:topLinePunct w:val="0"/>
        <w:autoSpaceDE/>
        <w:autoSpaceDN w:val="0"/>
        <w:bidi w:val="0"/>
        <w:adjustRightInd/>
        <w:snapToGrid/>
        <w:spacing w:line="600" w:lineRule="exact"/>
        <w:jc w:val="center"/>
        <w:textAlignment w:val="auto"/>
        <w:rPr>
          <w:rFonts w:hint="eastAsia" w:ascii="方正小标宋简体" w:eastAsia="方正小标宋简体"/>
          <w:color w:val="000000"/>
          <w:sz w:val="44"/>
          <w:szCs w:val="44"/>
        </w:rPr>
      </w:pPr>
      <w:r>
        <w:rPr>
          <w:rFonts w:hint="eastAsia" w:ascii="方正小标宋简体" w:eastAsia="方正小标宋简体"/>
          <w:color w:val="000000"/>
          <w:sz w:val="44"/>
          <w:szCs w:val="44"/>
        </w:rPr>
        <w:t>漯河市城市公共汽电车客运服务和管理条例（草</w:t>
      </w:r>
      <w:r>
        <w:rPr>
          <w:rFonts w:hint="eastAsia" w:ascii="方正小标宋简体" w:eastAsia="方正小标宋简体"/>
          <w:color w:val="000000"/>
          <w:sz w:val="44"/>
          <w:szCs w:val="44"/>
          <w:lang w:val="en-US" w:eastAsia="zh-CN"/>
        </w:rPr>
        <w:t xml:space="preserve">  </w:t>
      </w:r>
      <w:r>
        <w:rPr>
          <w:rFonts w:hint="eastAsia" w:ascii="方正小标宋简体" w:eastAsia="方正小标宋简体"/>
          <w:color w:val="000000"/>
          <w:sz w:val="44"/>
          <w:szCs w:val="44"/>
        </w:rPr>
        <w:t>案）</w:t>
      </w:r>
    </w:p>
    <w:p>
      <w:pPr>
        <w:pStyle w:val="11"/>
        <w:keepNext w:val="0"/>
        <w:keepLines w:val="0"/>
        <w:pageBreakBefore w:val="0"/>
        <w:widowControl w:val="0"/>
        <w:kinsoku/>
        <w:wordWrap/>
        <w:overflowPunct/>
        <w:topLinePunct w:val="0"/>
        <w:autoSpaceDE/>
        <w:autoSpaceDN w:val="0"/>
        <w:bidi w:val="0"/>
        <w:adjustRightInd/>
        <w:snapToGrid/>
        <w:spacing w:line="560" w:lineRule="exact"/>
        <w:jc w:val="center"/>
        <w:textAlignment w:val="auto"/>
        <w:rPr>
          <w:rFonts w:hint="eastAsia" w:ascii="仿宋_GB2312" w:eastAsia="仿宋_GB2312"/>
          <w:color w:val="000000"/>
          <w:sz w:val="32"/>
          <w:szCs w:val="32"/>
        </w:rPr>
      </w:pPr>
    </w:p>
    <w:p>
      <w:pPr>
        <w:pStyle w:val="11"/>
        <w:keepNext w:val="0"/>
        <w:keepLines w:val="0"/>
        <w:pageBreakBefore w:val="0"/>
        <w:widowControl w:val="0"/>
        <w:kinsoku/>
        <w:wordWrap/>
        <w:overflowPunct/>
        <w:topLinePunct w:val="0"/>
        <w:autoSpaceDE/>
        <w:autoSpaceDN w:val="0"/>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000000"/>
          <w:spacing w:val="11"/>
          <w:sz w:val="32"/>
          <w:szCs w:val="32"/>
        </w:rPr>
      </w:pPr>
      <w:r>
        <w:rPr>
          <w:rFonts w:hint="eastAsia" w:ascii="方正小标宋简体" w:hAnsi="方正小标宋简体" w:eastAsia="方正小标宋简体" w:cs="方正小标宋简体"/>
          <w:b w:val="0"/>
          <w:bCs w:val="0"/>
          <w:color w:val="000000"/>
          <w:spacing w:val="11"/>
          <w:sz w:val="44"/>
          <w:szCs w:val="44"/>
        </w:rPr>
        <w:t>目   录</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第一章  总则</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第二章  规划与建设</w:t>
      </w:r>
      <w:bookmarkStart w:id="0" w:name="_GoBack"/>
      <w:bookmarkEnd w:id="0"/>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第三章  运营服务</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第四章  运营管理</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第五章  运营安全</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第六章  法律责任</w:t>
      </w:r>
    </w:p>
    <w:p>
      <w:pPr>
        <w:pStyle w:val="11"/>
        <w:keepNext w:val="0"/>
        <w:keepLines w:val="0"/>
        <w:pageBreakBefore w:val="0"/>
        <w:widowControl w:val="0"/>
        <w:kinsoku/>
        <w:wordWrap/>
        <w:overflowPunct/>
        <w:topLinePunct w:val="0"/>
        <w:autoSpaceDE/>
        <w:autoSpaceDN w:val="0"/>
        <w:bidi w:val="0"/>
        <w:adjustRightInd/>
        <w:snapToGrid/>
        <w:spacing w:line="560" w:lineRule="exact"/>
        <w:ind w:firstLine="640"/>
        <w:textAlignment w:val="auto"/>
        <w:rPr>
          <w:rFonts w:hint="eastAsia" w:ascii="楷体_GB2312" w:eastAsia="楷体_GB2312"/>
          <w:color w:val="000000"/>
          <w:spacing w:val="11"/>
          <w:sz w:val="32"/>
          <w:szCs w:val="32"/>
        </w:rPr>
      </w:pPr>
      <w:r>
        <w:rPr>
          <w:rFonts w:hint="eastAsia" w:ascii="楷体_GB2312" w:eastAsia="楷体_GB2312"/>
          <w:color w:val="000000"/>
          <w:spacing w:val="11"/>
          <w:sz w:val="32"/>
          <w:szCs w:val="32"/>
        </w:rPr>
        <w:t>第七章  附则</w:t>
      </w:r>
    </w:p>
    <w:p>
      <w:pPr>
        <w:pStyle w:val="12"/>
        <w:keepNext w:val="0"/>
        <w:keepLines w:val="0"/>
        <w:pageBreakBefore w:val="0"/>
        <w:widowControl w:val="0"/>
        <w:kinsoku/>
        <w:wordWrap/>
        <w:overflowPunct/>
        <w:topLinePunct w:val="0"/>
        <w:autoSpaceDE/>
        <w:autoSpaceDN w:val="0"/>
        <w:bidi w:val="0"/>
        <w:adjustRightInd/>
        <w:snapToGrid/>
        <w:spacing w:after="0" w:line="560" w:lineRule="exact"/>
        <w:ind w:left="600"/>
        <w:textAlignment w:val="auto"/>
        <w:rPr>
          <w:rFonts w:hint="eastAsia" w:ascii="宋体" w:hAnsi="宋体"/>
          <w:color w:val="000000"/>
          <w:spacing w:val="11"/>
        </w:rPr>
      </w:pPr>
      <w:r>
        <w:rPr>
          <w:rFonts w:hint="eastAsia" w:ascii="宋体" w:hAnsi="宋体"/>
          <w:color w:val="000000"/>
          <w:spacing w:val="11"/>
        </w:rPr>
        <w:t xml:space="preserve"> </w:t>
      </w:r>
    </w:p>
    <w:p>
      <w:pPr>
        <w:pStyle w:val="5"/>
        <w:keepNext w:val="0"/>
        <w:keepLines w:val="0"/>
        <w:pageBreakBefore w:val="0"/>
        <w:widowControl w:val="0"/>
        <w:numPr>
          <w:ilvl w:val="0"/>
          <w:numId w:val="0"/>
        </w:numPr>
        <w:kinsoku/>
        <w:wordWrap/>
        <w:overflowPunct/>
        <w:topLinePunct w:val="0"/>
        <w:autoSpaceDE/>
        <w:autoSpaceDN/>
        <w:bidi w:val="0"/>
        <w:adjustRightInd/>
        <w:snapToGrid/>
        <w:spacing w:before="0" w:after="0" w:line="600"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sz w:val="32"/>
          <w:szCs w:val="32"/>
          <w:lang w:eastAsia="zh-CN"/>
        </w:rPr>
        <w:t>第一章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rPr>
        <w:t>总 则</w:t>
      </w:r>
    </w:p>
    <w:p>
      <w:pPr>
        <w:keepNext w:val="0"/>
        <w:keepLines w:val="0"/>
        <w:pageBreakBefore w:val="0"/>
        <w:widowControl w:val="0"/>
        <w:kinsoku/>
        <w:wordWrap/>
        <w:overflowPunct/>
        <w:topLinePunct w:val="0"/>
        <w:autoSpaceDE/>
        <w:bidi w:val="0"/>
        <w:adjustRightInd/>
        <w:snapToGrid/>
        <w:textAlignment w:val="auto"/>
        <w:rPr>
          <w:rFonts w:hint="eastAsia"/>
          <w:spacing w:val="11"/>
        </w:rPr>
      </w:pP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第一条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【目的和依据】为了促进城市公共交通事业优先发展，规范城市公共汽电车客运活动，保障运营安全，提高服务质量，</w:t>
      </w:r>
      <w:r>
        <w:rPr>
          <w:rFonts w:hint="eastAsia" w:ascii="新宋体" w:hAnsi="新宋体" w:eastAsia="方正仿宋简体" w:cs="方正仿宋简体"/>
          <w:b w:val="0"/>
          <w:bCs/>
          <w:spacing w:val="11"/>
          <w:lang w:eastAsia="zh-CN"/>
        </w:rPr>
        <w:t>更好满足</w:t>
      </w:r>
      <w:r>
        <w:rPr>
          <w:rFonts w:hint="eastAsia" w:ascii="新宋体" w:hAnsi="新宋体" w:eastAsia="方正仿宋简体" w:cs="方正仿宋简体"/>
          <w:b w:val="0"/>
          <w:bCs/>
          <w:spacing w:val="11"/>
        </w:rPr>
        <w:t>公众</w:t>
      </w:r>
      <w:r>
        <w:rPr>
          <w:rFonts w:hint="eastAsia" w:ascii="新宋体" w:hAnsi="新宋体" w:eastAsia="方正仿宋简体" w:cs="方正仿宋简体"/>
          <w:b w:val="0"/>
          <w:bCs/>
          <w:spacing w:val="11"/>
          <w:lang w:eastAsia="zh-CN"/>
        </w:rPr>
        <w:t>基本</w:t>
      </w:r>
      <w:r>
        <w:rPr>
          <w:rFonts w:hint="eastAsia" w:ascii="新宋体" w:hAnsi="新宋体" w:eastAsia="方正仿宋简体" w:cs="方正仿宋简体"/>
          <w:b w:val="0"/>
          <w:bCs/>
          <w:spacing w:val="11"/>
        </w:rPr>
        <w:t>出行</w:t>
      </w:r>
      <w:r>
        <w:rPr>
          <w:rFonts w:hint="eastAsia" w:ascii="新宋体" w:hAnsi="新宋体" w:eastAsia="方正仿宋简体" w:cs="方正仿宋简体"/>
          <w:b w:val="0"/>
          <w:bCs/>
          <w:spacing w:val="11"/>
          <w:lang w:eastAsia="zh-CN"/>
        </w:rPr>
        <w:t>需求</w:t>
      </w:r>
      <w:r>
        <w:rPr>
          <w:rFonts w:hint="eastAsia" w:ascii="新宋体" w:hAnsi="新宋体" w:eastAsia="方正仿宋简体" w:cs="方正仿宋简体"/>
          <w:b w:val="0"/>
          <w:bCs/>
          <w:spacing w:val="11"/>
        </w:rPr>
        <w:t>，根据</w:t>
      </w:r>
      <w:r>
        <w:rPr>
          <w:rFonts w:hint="eastAsia" w:ascii="新宋体" w:hAnsi="新宋体" w:eastAsia="方正仿宋简体" w:cs="方正仿宋简体"/>
          <w:b w:val="0"/>
          <w:bCs/>
          <w:spacing w:val="11"/>
          <w:lang w:eastAsia="zh-CN"/>
        </w:rPr>
        <w:t>《中华人民共和国道路交通安全法》《城市公共交通条例》等</w:t>
      </w:r>
      <w:r>
        <w:rPr>
          <w:rFonts w:hint="eastAsia" w:ascii="新宋体" w:hAnsi="新宋体" w:eastAsia="方正仿宋简体" w:cs="方正仿宋简体"/>
          <w:b w:val="0"/>
          <w:bCs/>
          <w:spacing w:val="11"/>
        </w:rPr>
        <w:t>有关法律、法规，结合本市实际，制定本条例。</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第二条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lang w:val="en-US" w:eastAsia="zh-CN"/>
        </w:rPr>
        <w:t xml:space="preserve"> </w:t>
      </w:r>
      <w:r>
        <w:rPr>
          <w:rFonts w:hint="eastAsia" w:ascii="新宋体" w:hAnsi="新宋体" w:eastAsia="方正仿宋简体" w:cs="方正仿宋简体"/>
          <w:b w:val="0"/>
          <w:bCs/>
          <w:spacing w:val="11"/>
        </w:rPr>
        <w:t>【适用范围】本市行政区域内城市公共汽电车客运的规划、建设、运营、服务</w:t>
      </w:r>
      <w:r>
        <w:rPr>
          <w:rFonts w:hint="eastAsia" w:ascii="新宋体" w:hAnsi="新宋体" w:eastAsia="方正仿宋简体" w:cs="方正仿宋简体"/>
          <w:b w:val="0"/>
          <w:bCs/>
          <w:spacing w:val="11"/>
          <w:lang w:eastAsia="zh-CN"/>
        </w:rPr>
        <w:t>、</w:t>
      </w:r>
      <w:r>
        <w:rPr>
          <w:rFonts w:hint="eastAsia" w:ascii="新宋体" w:hAnsi="新宋体" w:eastAsia="方正仿宋简体" w:cs="方正仿宋简体"/>
          <w:b w:val="0"/>
          <w:bCs/>
          <w:spacing w:val="11"/>
        </w:rPr>
        <w:t>管理等活动，适用本条例。</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第三条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【概念】本条例所称城市公共汽电车客运，是指在市、县（区）人民政府确定的区域内，利用公共汽车、公共电车等交通工具，按照规定的路线、编号、站点、时间、票价运营，为公众提供基本出行服务的活动。</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u w:val="none"/>
        </w:rPr>
      </w:pPr>
      <w:r>
        <w:rPr>
          <w:rFonts w:hint="eastAsia" w:ascii="新宋体" w:hAnsi="新宋体" w:eastAsia="方正仿宋简体" w:cs="方正仿宋简体"/>
          <w:b w:val="0"/>
          <w:bCs/>
          <w:spacing w:val="11"/>
          <w:sz w:val="32"/>
          <w:szCs w:val="32"/>
          <w:u w:val="none"/>
        </w:rPr>
        <w:t>本条</w:t>
      </w:r>
      <w:r>
        <w:rPr>
          <w:rFonts w:hint="eastAsia" w:ascii="新宋体" w:hAnsi="新宋体" w:eastAsia="方正仿宋简体" w:cs="方正仿宋简体"/>
          <w:b w:val="0"/>
          <w:bCs/>
          <w:spacing w:val="6"/>
          <w:sz w:val="32"/>
          <w:szCs w:val="32"/>
          <w:u w:val="none"/>
        </w:rPr>
        <w:t>例所称城市公共汽电车客运设施，是指为城市公共汽车、公共电车客运服务的停车场、首末站、换乘枢纽站、候车亭、站台、站牌、站务用房以及充电桩、供配电设施等设施。</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u w:val="none"/>
        </w:rPr>
      </w:pPr>
      <w:r>
        <w:rPr>
          <w:rFonts w:hint="eastAsia" w:ascii="黑体" w:hAnsi="黑体" w:eastAsia="黑体" w:cs="黑体"/>
          <w:b w:val="0"/>
          <w:bCs/>
          <w:spacing w:val="11"/>
          <w:sz w:val="32"/>
          <w:szCs w:val="32"/>
          <w:u w:val="none"/>
          <w:lang w:eastAsia="zh-CN"/>
        </w:rPr>
        <w:t>第四条</w:t>
      </w:r>
      <w:r>
        <w:rPr>
          <w:rFonts w:hint="eastAsia" w:ascii="黑体" w:hAnsi="黑体" w:eastAsia="黑体" w:cs="黑体"/>
          <w:b w:val="0"/>
          <w:bCs/>
          <w:spacing w:val="11"/>
          <w:sz w:val="32"/>
          <w:szCs w:val="32"/>
          <w:u w:val="none"/>
          <w:lang w:val="en-US" w:eastAsia="zh-CN"/>
        </w:rPr>
        <w:t xml:space="preserve">  </w:t>
      </w:r>
      <w:r>
        <w:rPr>
          <w:rFonts w:hint="eastAsia" w:ascii="新宋体" w:hAnsi="新宋体" w:eastAsia="方正仿宋简体" w:cs="方正仿宋简体"/>
          <w:b w:val="0"/>
          <w:bCs/>
          <w:spacing w:val="11"/>
          <w:sz w:val="32"/>
          <w:szCs w:val="32"/>
          <w:u w:val="none"/>
        </w:rPr>
        <w:t>【基本原则】城市公共汽电车客运是社会公益性事业，应当遵循政府主导、服务公众、</w:t>
      </w:r>
      <w:r>
        <w:rPr>
          <w:rFonts w:hint="eastAsia" w:ascii="新宋体" w:hAnsi="新宋体" w:eastAsia="方正仿宋简体" w:cs="方正仿宋简体"/>
          <w:b w:val="0"/>
          <w:bCs/>
          <w:spacing w:val="11"/>
          <w:sz w:val="32"/>
          <w:szCs w:val="32"/>
          <w:u w:val="none"/>
          <w:lang w:eastAsia="zh-CN"/>
        </w:rPr>
        <w:t>集约高效、</w:t>
      </w:r>
      <w:r>
        <w:rPr>
          <w:rFonts w:hint="eastAsia" w:ascii="新宋体" w:hAnsi="新宋体" w:eastAsia="方正仿宋简体" w:cs="方正仿宋简体"/>
          <w:b w:val="0"/>
          <w:bCs/>
          <w:spacing w:val="11"/>
          <w:sz w:val="32"/>
          <w:szCs w:val="32"/>
          <w:u w:val="none"/>
        </w:rPr>
        <w:t>积极扶持、安全便捷、智能环保的原则。</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u w:val="none"/>
          <w:lang w:val="en-US" w:eastAsia="zh-CN"/>
        </w:rPr>
      </w:pPr>
      <w:r>
        <w:rPr>
          <w:rFonts w:hint="eastAsia" w:ascii="黑体" w:hAnsi="黑体" w:eastAsia="黑体" w:cs="黑体"/>
          <w:b w:val="0"/>
          <w:bCs/>
          <w:spacing w:val="11"/>
          <w:sz w:val="32"/>
          <w:szCs w:val="32"/>
          <w:u w:val="none"/>
          <w:lang w:eastAsia="zh-CN"/>
        </w:rPr>
        <w:t>第五条</w:t>
      </w:r>
      <w:r>
        <w:rPr>
          <w:rFonts w:hint="eastAsia" w:ascii="黑体" w:hAnsi="黑体" w:eastAsia="黑体" w:cs="黑体"/>
          <w:b w:val="0"/>
          <w:bCs/>
          <w:spacing w:val="11"/>
          <w:sz w:val="32"/>
          <w:szCs w:val="32"/>
          <w:u w:val="none"/>
          <w:lang w:val="en-US" w:eastAsia="zh-CN"/>
        </w:rPr>
        <w:t xml:space="preserve"> </w:t>
      </w:r>
      <w:r>
        <w:rPr>
          <w:rFonts w:hint="eastAsia" w:ascii="新宋体" w:hAnsi="新宋体" w:eastAsia="方正仿宋简体" w:cs="方正仿宋简体"/>
          <w:b w:val="0"/>
          <w:bCs/>
          <w:spacing w:val="11"/>
          <w:sz w:val="32"/>
          <w:szCs w:val="32"/>
          <w:u w:val="none"/>
          <w:lang w:val="en-US" w:eastAsia="zh-CN"/>
        </w:rPr>
        <w:t xml:space="preserve"> </w:t>
      </w:r>
      <w:r>
        <w:rPr>
          <w:rFonts w:hint="eastAsia" w:ascii="新宋体" w:hAnsi="新宋体" w:eastAsia="方正仿宋简体" w:cs="方正仿宋简体"/>
          <w:b w:val="0"/>
          <w:bCs/>
          <w:spacing w:val="11"/>
          <w:sz w:val="32"/>
          <w:szCs w:val="32"/>
          <w:u w:val="none"/>
        </w:rPr>
        <w:t>【政策支持】</w:t>
      </w:r>
      <w:r>
        <w:rPr>
          <w:rFonts w:hint="eastAsia" w:ascii="新宋体" w:hAnsi="新宋体" w:eastAsia="方正仿宋简体" w:cs="方正仿宋简体"/>
          <w:b w:val="0"/>
          <w:bCs/>
          <w:spacing w:val="11"/>
          <w:sz w:val="32"/>
          <w:szCs w:val="32"/>
          <w:u w:val="none"/>
          <w:lang w:val="en-US" w:eastAsia="zh-CN"/>
        </w:rPr>
        <w:t>市、县（区）人民政府应当优先发展城市公共交通，将城市公共汽电车客运发展纳入本级国民经济和社会发展规划，将城市公共汽电车客运事业发展经费列入年度财政预算，在用地规划、设施建设、道路通行、安全防范等方面予以优先保障。</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u w:val="none"/>
        </w:rPr>
      </w:pPr>
      <w:r>
        <w:rPr>
          <w:rFonts w:hint="eastAsia" w:ascii="黑体" w:hAnsi="黑体" w:eastAsia="黑体" w:cs="黑体"/>
          <w:b w:val="0"/>
          <w:bCs/>
          <w:spacing w:val="11"/>
          <w:sz w:val="32"/>
          <w:szCs w:val="32"/>
          <w:u w:val="none"/>
          <w:lang w:val="en-US" w:eastAsia="zh-CN"/>
        </w:rPr>
        <w:t xml:space="preserve">第六条  </w:t>
      </w:r>
      <w:r>
        <w:rPr>
          <w:rFonts w:hint="eastAsia" w:ascii="新宋体" w:hAnsi="新宋体" w:eastAsia="方正仿宋简体" w:cs="方正仿宋简体"/>
          <w:b w:val="0"/>
          <w:bCs/>
          <w:spacing w:val="11"/>
          <w:sz w:val="32"/>
          <w:szCs w:val="32"/>
          <w:u w:val="none"/>
        </w:rPr>
        <w:t>【工作职责】市、县（区）人民政府应当建立城市公共交通管理协调机制，研究解决本行政区域内城市公共交通管理中的重大问题。</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市、县（区）人民政府交通运输主管部门负责本行政区域内的城市公共汽电车</w:t>
      </w:r>
      <w:r>
        <w:rPr>
          <w:rFonts w:hint="eastAsia" w:ascii="新宋体" w:hAnsi="新宋体" w:eastAsia="方正仿宋简体" w:cs="方正仿宋简体"/>
          <w:b w:val="0"/>
          <w:bCs/>
          <w:spacing w:val="11"/>
          <w:sz w:val="32"/>
          <w:szCs w:val="32"/>
          <w:lang w:eastAsia="zh-CN"/>
        </w:rPr>
        <w:t>客运</w:t>
      </w:r>
      <w:r>
        <w:rPr>
          <w:rFonts w:hint="eastAsia" w:ascii="新宋体" w:hAnsi="新宋体" w:eastAsia="方正仿宋简体" w:cs="方正仿宋简体"/>
          <w:b w:val="0"/>
          <w:bCs/>
          <w:spacing w:val="11"/>
          <w:sz w:val="32"/>
          <w:szCs w:val="32"/>
        </w:rPr>
        <w:t>监督管理工作。</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发展改革、公安、财政、税务、市场监督管理、自然资源和规划、生态环境、住房和城乡建设、城市管理、应急管理、国有资产管理等有关部门应当按照各自职责，共同做好城市公共汽电车客运相关工作。</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lang w:eastAsia="zh-CN"/>
        </w:rPr>
      </w:pPr>
      <w:r>
        <w:rPr>
          <w:rFonts w:hint="eastAsia" w:ascii="黑体" w:hAnsi="黑体" w:eastAsia="黑体" w:cs="黑体"/>
          <w:b w:val="0"/>
          <w:bCs/>
          <w:spacing w:val="11"/>
          <w:sz w:val="32"/>
          <w:szCs w:val="32"/>
          <w:lang w:eastAsia="zh-CN"/>
        </w:rPr>
        <w:t>第七条</w:t>
      </w:r>
      <w:r>
        <w:rPr>
          <w:rFonts w:hint="eastAsia" w:ascii="黑体" w:hAnsi="黑体" w:eastAsia="黑体" w:cs="黑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rPr>
        <w:t>【智能化信息化】鼓励支持城市公共汽电车客运应用新技术、新能源、新装备，推广使用具有无障碍设施的车辆，推进现代信息技术在公共汽电车运营、服务和管理方面的应用</w:t>
      </w:r>
      <w:r>
        <w:rPr>
          <w:rFonts w:hint="eastAsia" w:ascii="新宋体" w:hAnsi="新宋体" w:eastAsia="方正仿宋简体" w:cs="方正仿宋简体"/>
          <w:b w:val="0"/>
          <w:bCs/>
          <w:spacing w:val="11"/>
          <w:sz w:val="32"/>
          <w:szCs w:val="32"/>
          <w:lang w:eastAsia="zh-CN"/>
        </w:rPr>
        <w:t>，健全完善公众出行信息服务系统、车辆运营调度管理系统、安全监管系统和应急处置方案，鼓励设置电子站牌、信息显示屏，提高公共汽电车客运智能化水平。</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sz w:val="32"/>
          <w:szCs w:val="32"/>
          <w:lang w:eastAsia="zh-CN"/>
        </w:rPr>
        <w:t>第八条</w:t>
      </w:r>
      <w:r>
        <w:rPr>
          <w:rFonts w:hint="eastAsia" w:ascii="黑体" w:hAnsi="黑体" w:eastAsia="黑体" w:cs="黑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rPr>
        <w:t>【城乡客运一体化】市、县（区）人民政府应当完善城乡公共交通发展体系，统筹协调城乡公共交通发展，引导城市公共交通采取延伸、调整等方式优化城市公交线路网络，逐步覆盖城市周边乡镇，推进城乡公共汽电车客运服务一体化发展。</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sz w:val="32"/>
          <w:szCs w:val="32"/>
          <w:lang w:eastAsia="zh-CN"/>
        </w:rPr>
        <w:t>第九条</w:t>
      </w:r>
      <w:r>
        <w:rPr>
          <w:rFonts w:hint="eastAsia" w:ascii="黑体" w:hAnsi="黑体" w:eastAsia="黑体" w:cs="黑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rPr>
        <w:t>【倡导绿色出行】市、县（区）人民政府及有关部门、新闻媒体应当加强社会宣传，鼓励和引导社会公众优先选择城市公共汽电车等</w:t>
      </w:r>
      <w:r>
        <w:rPr>
          <w:rFonts w:hint="eastAsia" w:ascii="新宋体" w:hAnsi="新宋体" w:eastAsia="方正仿宋简体" w:cs="方正仿宋简体"/>
          <w:b w:val="0"/>
          <w:bCs/>
          <w:spacing w:val="11"/>
          <w:sz w:val="32"/>
          <w:szCs w:val="32"/>
          <w:lang w:eastAsia="zh-CN"/>
        </w:rPr>
        <w:t>公共交通工具</w:t>
      </w:r>
      <w:r>
        <w:rPr>
          <w:rFonts w:hint="eastAsia" w:ascii="新宋体" w:hAnsi="新宋体" w:eastAsia="方正仿宋简体" w:cs="方正仿宋简体"/>
          <w:b w:val="0"/>
          <w:bCs/>
          <w:spacing w:val="11"/>
          <w:sz w:val="32"/>
          <w:szCs w:val="32"/>
        </w:rPr>
        <w:t>出行。</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p>
    <w:p>
      <w:pPr>
        <w:pStyle w:val="11"/>
        <w:keepNext w:val="0"/>
        <w:keepLines w:val="0"/>
        <w:pageBreakBefore w:val="0"/>
        <w:widowControl w:val="0"/>
        <w:kinsoku/>
        <w:wordWrap/>
        <w:overflowPunct w:val="0"/>
        <w:topLinePunct w:val="0"/>
        <w:autoSpaceDE/>
        <w:autoSpaceDN w:val="0"/>
        <w:bidi w:val="0"/>
        <w:adjustRightInd/>
        <w:snapToGrid/>
        <w:spacing w:line="578"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sz w:val="32"/>
          <w:szCs w:val="32"/>
          <w:lang w:eastAsia="zh-CN"/>
        </w:rPr>
        <w:t>第二章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rPr>
        <w:t>规划与建设</w:t>
      </w:r>
    </w:p>
    <w:p>
      <w:pPr>
        <w:pStyle w:val="12"/>
        <w:keepNext w:val="0"/>
        <w:keepLines w:val="0"/>
        <w:pageBreakBefore w:val="0"/>
        <w:widowControl w:val="0"/>
        <w:kinsoku/>
        <w:wordWrap/>
        <w:overflowPunct w:val="0"/>
        <w:topLinePunct w:val="0"/>
        <w:autoSpaceDE/>
        <w:autoSpaceDN w:val="0"/>
        <w:bidi w:val="0"/>
        <w:adjustRightInd/>
        <w:snapToGrid/>
        <w:spacing w:after="0" w:line="578" w:lineRule="exact"/>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 xml:space="preserve"> </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kern w:val="0"/>
          <w:sz w:val="32"/>
          <w:szCs w:val="32"/>
          <w:lang w:val="en-US" w:eastAsia="zh-CN" w:bidi="ar-SA"/>
        </w:rPr>
        <w:t xml:space="preserve">第十条  </w:t>
      </w:r>
      <w:r>
        <w:rPr>
          <w:rFonts w:hint="eastAsia" w:ascii="新宋体" w:hAnsi="新宋体" w:eastAsia="方正仿宋简体" w:cs="方正仿宋简体"/>
          <w:b w:val="0"/>
          <w:bCs/>
          <w:spacing w:val="11"/>
        </w:rPr>
        <w:t>【规划编制】交通运输主管部门应当会同本级发展改革、自然资源和规划、住房和城乡建设、公安、财政、城市管理等部门，根据国土空间规划</w:t>
      </w:r>
      <w:r>
        <w:rPr>
          <w:rFonts w:hint="eastAsia" w:ascii="新宋体" w:hAnsi="新宋体" w:eastAsia="方正仿宋简体" w:cs="方正仿宋简体"/>
          <w:b w:val="0"/>
          <w:bCs/>
          <w:spacing w:val="11"/>
          <w:lang w:eastAsia="zh-CN"/>
        </w:rPr>
        <w:t>，编制</w:t>
      </w:r>
      <w:r>
        <w:rPr>
          <w:rFonts w:hint="eastAsia" w:ascii="新宋体" w:hAnsi="新宋体" w:eastAsia="方正仿宋简体" w:cs="方正仿宋简体"/>
          <w:b w:val="0"/>
          <w:bCs/>
          <w:spacing w:val="11"/>
        </w:rPr>
        <w:t>城市公共交通</w:t>
      </w:r>
      <w:r>
        <w:rPr>
          <w:rFonts w:hint="eastAsia" w:ascii="新宋体" w:hAnsi="新宋体" w:eastAsia="方正仿宋简体" w:cs="方正仿宋简体"/>
          <w:b w:val="0"/>
          <w:bCs/>
          <w:spacing w:val="11"/>
          <w:lang w:eastAsia="zh-CN"/>
        </w:rPr>
        <w:t>专项</w:t>
      </w:r>
      <w:r>
        <w:rPr>
          <w:rFonts w:hint="eastAsia" w:ascii="新宋体" w:hAnsi="新宋体" w:eastAsia="方正仿宋简体" w:cs="方正仿宋简体"/>
          <w:b w:val="0"/>
          <w:bCs/>
          <w:spacing w:val="11"/>
        </w:rPr>
        <w:t>规划，报本级人民政府批准后实施。</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第十一条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【规划</w:t>
      </w:r>
      <w:r>
        <w:rPr>
          <w:rFonts w:hint="eastAsia" w:ascii="新宋体" w:hAnsi="新宋体" w:eastAsia="方正仿宋简体" w:cs="方正仿宋简体"/>
          <w:b w:val="0"/>
          <w:bCs/>
          <w:spacing w:val="11"/>
          <w:lang w:eastAsia="zh-CN"/>
        </w:rPr>
        <w:t>执行</w:t>
      </w:r>
      <w:r>
        <w:rPr>
          <w:rFonts w:hint="eastAsia" w:ascii="新宋体" w:hAnsi="新宋体" w:eastAsia="方正仿宋简体" w:cs="方正仿宋简体"/>
          <w:b w:val="0"/>
          <w:bCs/>
          <w:spacing w:val="11"/>
        </w:rPr>
        <w:t>】经批准的城市公共</w:t>
      </w:r>
      <w:r>
        <w:rPr>
          <w:rFonts w:hint="eastAsia" w:ascii="新宋体" w:hAnsi="新宋体" w:eastAsia="方正仿宋简体" w:cs="方正仿宋简体"/>
          <w:b w:val="0"/>
          <w:bCs/>
          <w:spacing w:val="11"/>
          <w:lang w:eastAsia="zh-CN"/>
        </w:rPr>
        <w:t>交通</w:t>
      </w:r>
      <w:r>
        <w:rPr>
          <w:rFonts w:hint="eastAsia" w:ascii="新宋体" w:hAnsi="新宋体" w:eastAsia="方正仿宋简体" w:cs="方正仿宋简体"/>
          <w:b w:val="0"/>
          <w:bCs/>
          <w:spacing w:val="11"/>
        </w:rPr>
        <w:t>专项规划应当严格执行，不得擅自变更。确需变更的，应当按照规定程序报经批准。</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第十二条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【用地保障】市、县（区）人民政府应当将城市公共汽电车客运设施用地纳入建设用地供应计划。有关部门在编制控制性详细规划时，应当落实城市公共</w:t>
      </w:r>
      <w:r>
        <w:rPr>
          <w:rFonts w:hint="eastAsia" w:ascii="新宋体" w:hAnsi="新宋体" w:eastAsia="方正仿宋简体" w:cs="方正仿宋简体"/>
          <w:b w:val="0"/>
          <w:bCs/>
          <w:spacing w:val="11"/>
          <w:lang w:eastAsia="zh-CN"/>
        </w:rPr>
        <w:t>交通</w:t>
      </w:r>
      <w:r>
        <w:rPr>
          <w:rFonts w:hint="eastAsia" w:ascii="新宋体" w:hAnsi="新宋体" w:eastAsia="方正仿宋简体" w:cs="方正仿宋简体"/>
          <w:b w:val="0"/>
          <w:bCs/>
          <w:spacing w:val="11"/>
        </w:rPr>
        <w:t>专项规划确定的城市公共汽电车客运停车场、首末站、换乘枢纽站等设施用地。</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sz w:val="32"/>
          <w:szCs w:val="32"/>
          <w:u w:val="none"/>
        </w:rPr>
        <w:t>城市公共汽电车客运设施用地可以以划拨或者出让方式</w:t>
      </w:r>
      <w:r>
        <w:rPr>
          <w:rFonts w:hint="eastAsia" w:ascii="新宋体" w:hAnsi="新宋体" w:eastAsia="方正仿宋简体" w:cs="方正仿宋简体"/>
          <w:b w:val="0"/>
          <w:bCs/>
          <w:spacing w:val="11"/>
        </w:rPr>
        <w:t>供给。</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任何单位和个人不得侵占城市公共汽电车客运设施用地或者擅自改变其土地用途。</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第十三条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【综合开发利用】经市、县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人民政府批准，在确保城市公共汽电车客运设施用地功能及规模的基础上，可以依法对城市公共汽电车客运设施用地进行综合开发利用，其收益应当用于公共汽电车客运设施建设和运营。</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lang w:eastAsia="zh-CN"/>
        </w:rPr>
      </w:pPr>
      <w:r>
        <w:rPr>
          <w:rFonts w:hint="eastAsia" w:ascii="新宋体" w:hAnsi="新宋体" w:eastAsia="方正仿宋简体" w:cs="方正仿宋简体"/>
          <w:b w:val="0"/>
          <w:bCs/>
          <w:spacing w:val="11"/>
          <w:lang w:val="en-US" w:eastAsia="zh-CN"/>
        </w:rPr>
        <w:t>鼓励和支持</w:t>
      </w:r>
      <w:r>
        <w:rPr>
          <w:rFonts w:hint="eastAsia" w:ascii="新宋体" w:hAnsi="新宋体" w:eastAsia="方正仿宋简体" w:cs="方正仿宋简体"/>
          <w:b w:val="0"/>
          <w:bCs/>
          <w:spacing w:val="11"/>
          <w:lang w:eastAsia="zh-CN"/>
        </w:rPr>
        <w:t>承担城市公共汽电车客运服务的企业（以下简称城市公共汽电车企业）拓展商业贸易、物流配送、充电服务等多元化业务，推进行业转型升级，建设具有品牌效应和更具吸引力的绿色出行服务体系。</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4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kern w:val="2"/>
          <w:sz w:val="30"/>
          <w:szCs w:val="24"/>
          <w:lang w:val="en-US" w:eastAsia="zh-CN" w:bidi="ar-SA"/>
        </w:rPr>
        <w:t>第十四条</w:t>
      </w:r>
      <w:r>
        <w:rPr>
          <w:rFonts w:hint="eastAsia" w:ascii="新宋体" w:hAnsi="新宋体" w:eastAsia="方正仿宋简体" w:cs="方正仿宋简体"/>
          <w:b w:val="0"/>
          <w:bCs/>
          <w:spacing w:val="11"/>
          <w:lang w:val="en-US" w:eastAsia="zh-CN"/>
        </w:rPr>
        <w:t xml:space="preserve">  </w:t>
      </w:r>
      <w:r>
        <w:rPr>
          <w:rFonts w:hint="eastAsia" w:ascii="新宋体" w:hAnsi="新宋体" w:eastAsia="方正仿宋简体" w:cs="方正仿宋简体"/>
          <w:b w:val="0"/>
          <w:bCs/>
          <w:spacing w:val="11"/>
        </w:rPr>
        <w:t>【配套建设】根据控制性详细规划，新建、改建或者扩建交通枢纽、商业中心、住宅小区、产业集中区、旅游景点、学校、医院等人员密集场所配套建设公共交通设施的，配套建设的公共交通设施应当与主体工程同步设计、同步建设、同步验收、同步交付使用。分期开发、分期交付使用的建设项目，在公共交通设施建成前，应当根据需要设置过渡设施。</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4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kern w:val="2"/>
          <w:sz w:val="30"/>
          <w:szCs w:val="24"/>
          <w:lang w:val="en-US" w:eastAsia="zh-CN" w:bidi="ar-SA"/>
        </w:rPr>
        <w:t>第十五条</w:t>
      </w:r>
      <w:r>
        <w:rPr>
          <w:rFonts w:hint="eastAsia" w:ascii="新宋体" w:hAnsi="新宋体" w:eastAsia="方正仿宋简体" w:cs="方正仿宋简体"/>
          <w:b w:val="0"/>
          <w:bCs/>
          <w:spacing w:val="11"/>
          <w:lang w:val="en-US" w:eastAsia="zh-CN"/>
        </w:rPr>
        <w:t xml:space="preserve">  </w:t>
      </w:r>
      <w:r>
        <w:rPr>
          <w:rFonts w:hint="eastAsia" w:ascii="新宋体" w:hAnsi="新宋体" w:eastAsia="方正仿宋简体" w:cs="方正仿宋简体"/>
          <w:b w:val="0"/>
          <w:bCs/>
          <w:spacing w:val="11"/>
        </w:rPr>
        <w:t>【新建道路、站台配套】新建、改建或者扩建次干路以上等级的城市道路时，</w:t>
      </w:r>
      <w:r>
        <w:rPr>
          <w:rFonts w:hint="eastAsia" w:ascii="新宋体" w:hAnsi="新宋体" w:eastAsia="方正仿宋简体" w:cs="方正仿宋简体"/>
          <w:b w:val="0"/>
          <w:bCs/>
          <w:spacing w:val="11"/>
          <w:lang w:eastAsia="zh-CN"/>
        </w:rPr>
        <w:t>应当规范设置公交停靠站台。</w:t>
      </w:r>
      <w:r>
        <w:rPr>
          <w:rFonts w:hint="eastAsia" w:ascii="新宋体" w:hAnsi="新宋体" w:eastAsia="方正仿宋简体" w:cs="方正仿宋简体"/>
          <w:b w:val="0"/>
          <w:bCs/>
          <w:spacing w:val="11"/>
        </w:rPr>
        <w:t>具备条件的，应当同步规划、建设港湾式停靠站等城市公共汽电车客运设施。</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新建、改建、扩建城市道路设置的城市公共汽电车客运站台，应配套电力、网络通讯等设施，按照规定配建或者设置无障碍及适老化服务设施。</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44" w:firstLineChars="20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0"/>
          <w:szCs w:val="24"/>
          <w:lang w:val="en-US" w:eastAsia="zh-CN" w:bidi="ar-SA"/>
        </w:rPr>
        <w:t>第十六条</w:t>
      </w:r>
      <w:r>
        <w:rPr>
          <w:rFonts w:hint="eastAsia" w:ascii="新宋体" w:hAnsi="新宋体" w:eastAsia="方正仿宋简体" w:cs="方正仿宋简体"/>
          <w:b w:val="0"/>
          <w:bCs/>
          <w:spacing w:val="11"/>
          <w:lang w:val="en-US" w:eastAsia="zh-CN"/>
        </w:rPr>
        <w:t xml:space="preserve">  </w:t>
      </w:r>
      <w:r>
        <w:rPr>
          <w:rFonts w:hint="eastAsia" w:ascii="新宋体" w:hAnsi="新宋体" w:eastAsia="方正仿宋简体" w:cs="方正仿宋简体"/>
          <w:b w:val="0"/>
          <w:bCs/>
          <w:spacing w:val="11"/>
        </w:rPr>
        <w:t>【交通标牌等设置】公安机关交通管理部门应当统筹设置公交专用道、优先</w:t>
      </w:r>
      <w:r>
        <w:rPr>
          <w:rFonts w:hint="eastAsia" w:ascii="新宋体" w:hAnsi="新宋体" w:eastAsia="方正仿宋简体" w:cs="方正仿宋简体"/>
          <w:b w:val="0"/>
          <w:bCs/>
          <w:spacing w:val="11"/>
          <w:sz w:val="32"/>
          <w:szCs w:val="32"/>
        </w:rPr>
        <w:t>通行信号系统</w:t>
      </w:r>
      <w:r>
        <w:rPr>
          <w:rFonts w:hint="eastAsia" w:ascii="新宋体" w:hAnsi="新宋体" w:eastAsia="方正仿宋简体" w:cs="方正仿宋简体"/>
          <w:b w:val="0"/>
          <w:bCs/>
          <w:spacing w:val="11"/>
          <w:sz w:val="32"/>
          <w:szCs w:val="32"/>
          <w:lang w:eastAsia="zh-CN"/>
        </w:rPr>
        <w:t>，并实行科学管理和动态调整</w:t>
      </w:r>
      <w:r>
        <w:rPr>
          <w:rFonts w:hint="eastAsia" w:ascii="新宋体" w:hAnsi="新宋体" w:eastAsia="方正仿宋简体" w:cs="方正仿宋简体"/>
          <w:b w:val="0"/>
          <w:bCs/>
          <w:spacing w:val="11"/>
          <w:sz w:val="32"/>
          <w:szCs w:val="32"/>
        </w:rPr>
        <w:t>。在道路条件允许的情况下，允许城市公共汽电车客运车辆在禁左、禁右和单向行驶路段通行，并设立标志。</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lang w:eastAsia="zh-CN"/>
        </w:rPr>
        <w:t>公安机关交通管理部门应当强化公交专用道管理，依法依规</w:t>
      </w:r>
      <w:r>
        <w:rPr>
          <w:rFonts w:hint="eastAsia" w:ascii="新宋体" w:hAnsi="新宋体" w:eastAsia="方正仿宋简体" w:cs="方正仿宋简体"/>
          <w:b w:val="0"/>
          <w:bCs/>
          <w:spacing w:val="6"/>
          <w:sz w:val="32"/>
          <w:szCs w:val="32"/>
          <w:lang w:eastAsia="zh-CN"/>
        </w:rPr>
        <w:t>处罚占用车辆。在不具备施划公交专用道的易拥堵路段，施划公交优先道，</w:t>
      </w:r>
      <w:r>
        <w:rPr>
          <w:rFonts w:hint="eastAsia" w:ascii="新宋体" w:hAnsi="新宋体" w:eastAsia="方正仿宋简体" w:cs="方正仿宋简体"/>
          <w:b w:val="0"/>
          <w:bCs/>
          <w:spacing w:val="6"/>
          <w:sz w:val="32"/>
          <w:szCs w:val="32"/>
        </w:rPr>
        <w:t>保障城市公共汽电车客运车辆优先通行。</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0"/>
          <w:szCs w:val="24"/>
          <w:lang w:val="en-US" w:eastAsia="zh-CN" w:bidi="ar-SA"/>
        </w:rPr>
        <w:t xml:space="preserve">第十七条 </w:t>
      </w:r>
      <w:r>
        <w:rPr>
          <w:rFonts w:hint="eastAsia" w:ascii="新宋体" w:hAnsi="新宋体" w:eastAsia="方正仿宋简体" w:cs="方正仿宋简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rPr>
        <w:t>【禁止规定】任何单位和个人不得擅自迁移、拆除、占用城市公共汽电车客运设施。因城市建设等确需迁移、拆除、占用的，应当经交通运输主管部门</w:t>
      </w:r>
      <w:r>
        <w:rPr>
          <w:rFonts w:hint="eastAsia" w:ascii="新宋体" w:hAnsi="新宋体" w:eastAsia="方正仿宋简体" w:cs="方正仿宋简体"/>
          <w:b w:val="0"/>
          <w:bCs/>
          <w:spacing w:val="11"/>
          <w:sz w:val="32"/>
          <w:szCs w:val="32"/>
          <w:lang w:val="en-US" w:eastAsia="zh-CN"/>
        </w:rPr>
        <w:t>及设施产权主体同意</w:t>
      </w:r>
      <w:r>
        <w:rPr>
          <w:rFonts w:hint="eastAsia" w:ascii="新宋体" w:hAnsi="新宋体" w:eastAsia="方正仿宋简体" w:cs="方正仿宋简体"/>
          <w:b w:val="0"/>
          <w:bCs/>
          <w:spacing w:val="11"/>
          <w:sz w:val="32"/>
          <w:szCs w:val="32"/>
        </w:rPr>
        <w:t>，按照规定予以补建或者补偿。</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0"/>
          <w:szCs w:val="24"/>
          <w:lang w:val="en-US" w:eastAsia="zh-CN" w:bidi="ar-SA"/>
        </w:rPr>
        <w:t xml:space="preserve">第十八条  </w:t>
      </w:r>
      <w:r>
        <w:rPr>
          <w:rFonts w:hint="eastAsia" w:ascii="新宋体" w:hAnsi="新宋体" w:eastAsia="方正仿宋简体" w:cs="方正仿宋简体"/>
          <w:b w:val="0"/>
          <w:bCs/>
          <w:spacing w:val="11"/>
          <w:sz w:val="32"/>
          <w:szCs w:val="32"/>
        </w:rPr>
        <w:t>【资金保障】城市公共汽电车客运应当以政府投入为主。</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kern w:val="0"/>
          <w:sz w:val="32"/>
          <w:szCs w:val="32"/>
          <w:lang w:val="en-US" w:eastAsia="zh-CN" w:bidi="ar-SA"/>
        </w:rPr>
      </w:pPr>
      <w:r>
        <w:rPr>
          <w:rFonts w:hint="eastAsia" w:ascii="新宋体" w:hAnsi="新宋体" w:eastAsia="方正仿宋简体" w:cs="方正仿宋简体"/>
          <w:b w:val="0"/>
          <w:bCs/>
          <w:spacing w:val="11"/>
          <w:sz w:val="32"/>
          <w:szCs w:val="32"/>
        </w:rPr>
        <w:t>城市公共汽电车客运设施建设和车辆购置所需资金由政府投资，纳入城市建设投资计划和年度财政预算，并可以采取企业筹资</w:t>
      </w:r>
      <w:r>
        <w:rPr>
          <w:rFonts w:hint="eastAsia" w:ascii="新宋体" w:hAnsi="新宋体" w:eastAsia="方正仿宋简体" w:cs="方正仿宋简体"/>
          <w:b w:val="0"/>
          <w:bCs/>
          <w:spacing w:val="11"/>
          <w:kern w:val="0"/>
          <w:sz w:val="32"/>
          <w:szCs w:val="32"/>
          <w:lang w:val="en-US" w:eastAsia="zh-CN" w:bidi="ar-SA"/>
        </w:rPr>
        <w:t>、社会融资等多种方式筹集资金。</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lang w:val="en-US" w:eastAsia="zh-CN"/>
        </w:rPr>
      </w:pPr>
      <w:r>
        <w:rPr>
          <w:rFonts w:hint="eastAsia" w:ascii="新宋体" w:hAnsi="新宋体" w:eastAsia="方正仿宋简体" w:cs="方正仿宋简体"/>
          <w:b w:val="0"/>
          <w:bCs/>
          <w:spacing w:val="11"/>
          <w:kern w:val="0"/>
          <w:sz w:val="32"/>
          <w:szCs w:val="32"/>
          <w:lang w:val="en-US" w:eastAsia="zh-CN" w:bidi="ar-SA"/>
        </w:rPr>
        <w:t>鼓励和支持社会资本依法参与城市公共汽电车客运设施建设运营，保障其</w:t>
      </w:r>
      <w:r>
        <w:rPr>
          <w:rFonts w:hint="eastAsia" w:ascii="新宋体" w:hAnsi="新宋体" w:eastAsia="方正仿宋简体" w:cs="方正仿宋简体"/>
          <w:b w:val="0"/>
          <w:bCs/>
          <w:spacing w:val="11"/>
          <w:sz w:val="32"/>
          <w:szCs w:val="32"/>
          <w:lang w:val="en-US" w:eastAsia="zh-CN"/>
        </w:rPr>
        <w:t>合法权益。</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0"/>
          <w:szCs w:val="24"/>
          <w:lang w:val="en-US" w:eastAsia="zh-CN" w:bidi="ar-SA"/>
        </w:rPr>
        <w:t xml:space="preserve">第十九条  </w:t>
      </w:r>
      <w:r>
        <w:rPr>
          <w:rFonts w:hint="eastAsia" w:ascii="新宋体" w:hAnsi="新宋体" w:eastAsia="方正仿宋简体" w:cs="方正仿宋简体"/>
          <w:b w:val="0"/>
          <w:bCs/>
          <w:spacing w:val="11"/>
          <w:sz w:val="32"/>
          <w:szCs w:val="32"/>
        </w:rPr>
        <w:t>【客运公共设施维护】政府投资建设的城市公共汽电车客运设施，符合招投标条件的，采取招投标方式选择日常维护单位；不符合招投标条件的，采取其他合法方式确定日常维护单位。社会投资建设的城市公共汽电车客运设施，由投资者或者其委托</w:t>
      </w:r>
      <w:r>
        <w:rPr>
          <w:rFonts w:hint="eastAsia" w:ascii="新宋体" w:hAnsi="新宋体" w:eastAsia="方正仿宋简体" w:cs="方正仿宋简体"/>
          <w:b w:val="0"/>
          <w:bCs/>
          <w:spacing w:val="11"/>
          <w:sz w:val="32"/>
          <w:szCs w:val="32"/>
          <w:lang w:eastAsia="zh-CN"/>
        </w:rPr>
        <w:t>方</w:t>
      </w:r>
      <w:r>
        <w:rPr>
          <w:rFonts w:hint="eastAsia" w:ascii="新宋体" w:hAnsi="新宋体" w:eastAsia="方正仿宋简体" w:cs="方正仿宋简体"/>
          <w:b w:val="0"/>
          <w:bCs/>
          <w:spacing w:val="11"/>
          <w:sz w:val="32"/>
          <w:szCs w:val="32"/>
        </w:rPr>
        <w:t>负责日常</w:t>
      </w:r>
      <w:r>
        <w:rPr>
          <w:rFonts w:hint="eastAsia" w:ascii="新宋体" w:hAnsi="新宋体" w:eastAsia="方正仿宋简体" w:cs="方正仿宋简体"/>
          <w:b w:val="0"/>
          <w:bCs/>
          <w:spacing w:val="11"/>
          <w:sz w:val="32"/>
          <w:szCs w:val="32"/>
          <w:lang w:eastAsia="zh-CN"/>
        </w:rPr>
        <w:t>维护</w:t>
      </w:r>
      <w:r>
        <w:rPr>
          <w:rFonts w:hint="eastAsia" w:ascii="新宋体" w:hAnsi="新宋体" w:eastAsia="方正仿宋简体" w:cs="方正仿宋简体"/>
          <w:b w:val="0"/>
          <w:bCs/>
          <w:spacing w:val="11"/>
          <w:sz w:val="32"/>
          <w:szCs w:val="32"/>
        </w:rPr>
        <w:t>。</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0"/>
          <w:szCs w:val="24"/>
          <w:lang w:val="en-US" w:eastAsia="zh-CN" w:bidi="ar-SA"/>
        </w:rPr>
        <w:t xml:space="preserve">第二十条 </w:t>
      </w:r>
      <w:r>
        <w:rPr>
          <w:rFonts w:hint="eastAsia" w:ascii="新宋体" w:hAnsi="新宋体" w:eastAsia="方正仿宋简体" w:cs="方正仿宋简体"/>
          <w:b w:val="0"/>
          <w:bCs/>
          <w:spacing w:val="11"/>
          <w:sz w:val="32"/>
          <w:szCs w:val="32"/>
          <w:lang w:val="en-US" w:eastAsia="zh-CN"/>
        </w:rPr>
        <w:t xml:space="preserve"> </w:t>
      </w:r>
      <w:r>
        <w:rPr>
          <w:rFonts w:hint="eastAsia" w:ascii="新宋体" w:hAnsi="新宋体" w:eastAsia="方正仿宋简体" w:cs="方正仿宋简体"/>
          <w:b w:val="0"/>
          <w:bCs/>
          <w:spacing w:val="11"/>
          <w:sz w:val="32"/>
          <w:szCs w:val="32"/>
        </w:rPr>
        <w:t>【落实优惠】有关部门应当严格执行国家、省、市优先发展城市公共交通事业的相关规定，落实税费减免等优惠政策，支持城市公共汽电车客运事业发展。</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lang w:eastAsia="zh-CN"/>
        </w:rPr>
      </w:pPr>
      <w:r>
        <w:rPr>
          <w:rFonts w:hint="eastAsia" w:ascii="黑体" w:hAnsi="黑体" w:eastAsia="黑体" w:cs="黑体"/>
          <w:b w:val="0"/>
          <w:bCs/>
          <w:spacing w:val="11"/>
          <w:kern w:val="2"/>
          <w:sz w:val="30"/>
          <w:szCs w:val="24"/>
          <w:lang w:val="en-US" w:eastAsia="zh-CN" w:bidi="ar-SA"/>
        </w:rPr>
        <w:t xml:space="preserve">第二十一条  </w:t>
      </w:r>
      <w:r>
        <w:rPr>
          <w:rFonts w:hint="eastAsia" w:ascii="新宋体" w:hAnsi="新宋体" w:eastAsia="方正仿宋简体" w:cs="方正仿宋简体"/>
          <w:b w:val="0"/>
          <w:bCs/>
          <w:spacing w:val="11"/>
          <w:sz w:val="32"/>
          <w:szCs w:val="32"/>
        </w:rPr>
        <w:t>【</w:t>
      </w:r>
      <w:r>
        <w:rPr>
          <w:rFonts w:hint="eastAsia" w:ascii="新宋体" w:hAnsi="新宋体" w:eastAsia="方正仿宋简体" w:cs="方正仿宋简体"/>
          <w:b w:val="0"/>
          <w:bCs/>
          <w:spacing w:val="11"/>
          <w:sz w:val="32"/>
          <w:szCs w:val="32"/>
          <w:lang w:eastAsia="zh-CN"/>
        </w:rPr>
        <w:t>财政</w:t>
      </w:r>
      <w:r>
        <w:rPr>
          <w:rFonts w:hint="eastAsia" w:ascii="新宋体" w:hAnsi="新宋体" w:eastAsia="方正仿宋简体" w:cs="方正仿宋简体"/>
          <w:b w:val="0"/>
          <w:bCs/>
          <w:spacing w:val="11"/>
          <w:sz w:val="32"/>
          <w:szCs w:val="32"/>
        </w:rPr>
        <w:t>补贴】市、县</w:t>
      </w:r>
      <w:r>
        <w:rPr>
          <w:rFonts w:hint="eastAsia" w:ascii="新宋体" w:hAnsi="新宋体" w:eastAsia="方正仿宋简体" w:cs="方正仿宋简体"/>
          <w:b w:val="0"/>
          <w:bCs/>
          <w:spacing w:val="11"/>
          <w:sz w:val="32"/>
          <w:szCs w:val="32"/>
          <w:lang w:eastAsia="zh-CN"/>
        </w:rPr>
        <w:t>（区）</w:t>
      </w:r>
      <w:r>
        <w:rPr>
          <w:rFonts w:hint="eastAsia" w:ascii="新宋体" w:hAnsi="新宋体" w:eastAsia="方正仿宋简体" w:cs="方正仿宋简体"/>
          <w:b w:val="0"/>
          <w:bCs/>
          <w:spacing w:val="11"/>
          <w:sz w:val="32"/>
          <w:szCs w:val="32"/>
        </w:rPr>
        <w:t>人民政府应当建立健全</w:t>
      </w:r>
      <w:r>
        <w:rPr>
          <w:rFonts w:hint="eastAsia" w:ascii="新宋体" w:hAnsi="新宋体" w:eastAsia="方正仿宋简体" w:cs="方正仿宋简体"/>
          <w:b w:val="0"/>
          <w:bCs/>
          <w:spacing w:val="11"/>
          <w:sz w:val="32"/>
          <w:szCs w:val="32"/>
          <w:lang w:eastAsia="zh-CN"/>
        </w:rPr>
        <w:t>科学合理的</w:t>
      </w:r>
      <w:r>
        <w:rPr>
          <w:rFonts w:hint="eastAsia" w:ascii="新宋体" w:hAnsi="新宋体" w:eastAsia="方正仿宋简体" w:cs="方正仿宋简体"/>
          <w:b w:val="0"/>
          <w:bCs/>
          <w:spacing w:val="11"/>
          <w:sz w:val="32"/>
          <w:szCs w:val="32"/>
        </w:rPr>
        <w:t>城市公共汽电车客运成本规制、补贴补偿机制，对</w:t>
      </w:r>
      <w:r>
        <w:rPr>
          <w:rFonts w:hint="eastAsia" w:ascii="新宋体" w:hAnsi="新宋体" w:eastAsia="方正仿宋简体" w:cs="方正仿宋简体"/>
          <w:b w:val="0"/>
          <w:bCs/>
          <w:spacing w:val="11"/>
          <w:sz w:val="32"/>
          <w:szCs w:val="32"/>
          <w:lang w:eastAsia="zh-CN"/>
        </w:rPr>
        <w:t>城市公共汽电车企业</w:t>
      </w:r>
      <w:r>
        <w:rPr>
          <w:rFonts w:hint="eastAsia" w:ascii="新宋体" w:hAnsi="新宋体" w:eastAsia="方正仿宋简体" w:cs="方正仿宋简体"/>
          <w:b w:val="0"/>
          <w:bCs/>
          <w:spacing w:val="11"/>
          <w:sz w:val="32"/>
          <w:szCs w:val="32"/>
        </w:rPr>
        <w:t>进行年度审计和绩效评价，</w:t>
      </w:r>
      <w:r>
        <w:rPr>
          <w:rFonts w:hint="eastAsia" w:ascii="新宋体" w:hAnsi="新宋体" w:eastAsia="方正仿宋简体" w:cs="方正仿宋简体"/>
          <w:b w:val="0"/>
          <w:bCs/>
          <w:spacing w:val="11"/>
          <w:sz w:val="32"/>
          <w:szCs w:val="32"/>
          <w:lang w:eastAsia="zh-CN"/>
        </w:rPr>
        <w:t>依据审计和评价结果核定补贴资金，列入财政预算，及时清算并足额拨付。</w:t>
      </w: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sz w:val="32"/>
          <w:szCs w:val="32"/>
          <w:lang w:eastAsia="zh-CN"/>
        </w:rPr>
        <w:t>第三章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rPr>
        <w:t>运营服务</w:t>
      </w:r>
    </w:p>
    <w:p>
      <w:pPr>
        <w:keepNext w:val="0"/>
        <w:keepLines w:val="0"/>
        <w:pageBreakBefore w:val="0"/>
        <w:widowControl w:val="0"/>
        <w:kinsoku/>
        <w:wordWrap/>
        <w:overflowPunct w:val="0"/>
        <w:topLinePunct w:val="0"/>
        <w:autoSpaceDE/>
        <w:bidi w:val="0"/>
        <w:adjustRightInd/>
        <w:snapToGrid/>
        <w:textAlignment w:val="auto"/>
        <w:rPr>
          <w:rFonts w:hint="eastAsia"/>
        </w:rPr>
      </w:pP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lang w:eastAsia="zh-CN"/>
        </w:rPr>
      </w:pPr>
      <w:r>
        <w:rPr>
          <w:rFonts w:hint="eastAsia" w:ascii="黑体" w:hAnsi="黑体" w:eastAsia="黑体" w:cs="黑体"/>
          <w:b w:val="0"/>
          <w:bCs/>
          <w:spacing w:val="11"/>
          <w:lang w:eastAsia="zh-CN"/>
        </w:rPr>
        <w:t>第二十二条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【企业义务】城市公共汽电车客运企业应按照</w:t>
      </w:r>
      <w:r>
        <w:rPr>
          <w:rFonts w:hint="eastAsia" w:ascii="新宋体" w:hAnsi="新宋体" w:eastAsia="方正仿宋简体" w:cs="方正仿宋简体"/>
          <w:b w:val="0"/>
          <w:bCs/>
          <w:spacing w:val="11"/>
          <w:lang w:eastAsia="zh-CN"/>
        </w:rPr>
        <w:t>国家相关规定</w:t>
      </w:r>
      <w:r>
        <w:rPr>
          <w:rFonts w:hint="eastAsia" w:ascii="新宋体" w:hAnsi="新宋体" w:eastAsia="方正仿宋简体" w:cs="方正仿宋简体"/>
          <w:b w:val="0"/>
          <w:bCs/>
          <w:spacing w:val="11"/>
        </w:rPr>
        <w:t>配备运营车辆</w:t>
      </w:r>
      <w:r>
        <w:rPr>
          <w:rFonts w:hint="eastAsia" w:ascii="新宋体" w:hAnsi="新宋体" w:eastAsia="方正仿宋简体" w:cs="方正仿宋简体"/>
          <w:b w:val="0"/>
          <w:bCs/>
          <w:spacing w:val="11"/>
          <w:lang w:eastAsia="zh-CN"/>
        </w:rPr>
        <w:t>，</w:t>
      </w:r>
      <w:r>
        <w:rPr>
          <w:rFonts w:hint="eastAsia" w:ascii="新宋体" w:hAnsi="新宋体" w:eastAsia="方正仿宋简体" w:cs="方正仿宋简体"/>
          <w:b w:val="0"/>
          <w:bCs/>
          <w:spacing w:val="11"/>
        </w:rPr>
        <w:t>执行行业标准、规范；发生自然灾害及其他突发事件时，服从政府的统一调度和指挥</w:t>
      </w:r>
      <w:r>
        <w:rPr>
          <w:rFonts w:hint="eastAsia" w:ascii="新宋体" w:hAnsi="新宋体" w:eastAsia="方正仿宋简体" w:cs="方正仿宋简体"/>
          <w:b w:val="0"/>
          <w:bCs/>
          <w:spacing w:val="11"/>
          <w:lang w:eastAsia="zh-CN"/>
        </w:rPr>
        <w:t>。</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lang w:eastAsia="zh-CN"/>
        </w:rPr>
      </w:pPr>
      <w:r>
        <w:rPr>
          <w:rFonts w:hint="eastAsia" w:ascii="黑体" w:hAnsi="黑体" w:eastAsia="黑体" w:cs="黑体"/>
          <w:b w:val="0"/>
          <w:bCs/>
          <w:spacing w:val="11"/>
          <w:lang w:eastAsia="zh-CN"/>
        </w:rPr>
        <w:t>第二十三条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lang w:val="en-US" w:eastAsia="zh-CN"/>
        </w:rPr>
        <w:t xml:space="preserve"> </w:t>
      </w:r>
      <w:r>
        <w:rPr>
          <w:rFonts w:hint="eastAsia" w:ascii="新宋体" w:hAnsi="新宋体" w:eastAsia="方正仿宋简体" w:cs="方正仿宋简体"/>
          <w:b w:val="0"/>
          <w:bCs/>
          <w:spacing w:val="11"/>
        </w:rPr>
        <w:t>【车辆要求】运营车辆应按规定设置运营服务标识和安全警示标识；安装符合国家标准的卫星定位行车设备和电子监控系统，将车辆实时动态数据接入动态监控平台，</w:t>
      </w:r>
      <w:r>
        <w:rPr>
          <w:rFonts w:hint="eastAsia" w:ascii="新宋体" w:hAnsi="新宋体" w:eastAsia="方正仿宋简体" w:cs="方正仿宋简体"/>
          <w:b w:val="0"/>
          <w:bCs/>
          <w:spacing w:val="11"/>
          <w:lang w:eastAsia="zh-CN"/>
        </w:rPr>
        <w:t>在保障安全的前提下提高运行准点率和运行效率</w:t>
      </w:r>
      <w:r>
        <w:rPr>
          <w:rFonts w:hint="eastAsia" w:ascii="新宋体" w:hAnsi="新宋体" w:eastAsia="方正仿宋简体" w:cs="方正仿宋简体"/>
          <w:b w:val="0"/>
          <w:bCs/>
          <w:spacing w:val="11"/>
        </w:rPr>
        <w:t>。</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eastAsia="zh-CN"/>
        </w:rPr>
        <w:t>第二十四条</w:t>
      </w:r>
      <w:r>
        <w:rPr>
          <w:rFonts w:hint="eastAsia" w:ascii="黑体" w:hAnsi="黑体" w:eastAsia="黑体" w:cs="黑体"/>
          <w:b w:val="0"/>
          <w:bCs/>
          <w:spacing w:val="11"/>
          <w:lang w:val="en-US" w:eastAsia="zh-CN"/>
        </w:rPr>
        <w:t xml:space="preserve">  </w:t>
      </w:r>
      <w:r>
        <w:rPr>
          <w:rFonts w:hint="eastAsia" w:ascii="新宋体" w:hAnsi="新宋体" w:eastAsia="方正仿宋简体" w:cs="方正仿宋简体"/>
          <w:b w:val="0"/>
          <w:bCs/>
          <w:spacing w:val="11"/>
        </w:rPr>
        <w:t>【司乘人员条件】城市公共汽电车企业聘用的驾驶员、乘务员，应当具备以下条件：</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（一）具有履行岗位职责的能力；</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（二）身心健康，无可能危及行车安全的疾病或者病史；</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trike/>
          <w:dstrike w:val="0"/>
          <w:spacing w:val="11"/>
          <w:sz w:val="32"/>
          <w:szCs w:val="32"/>
          <w:highlight w:val="yellow"/>
        </w:rPr>
      </w:pPr>
      <w:r>
        <w:rPr>
          <w:rFonts w:hint="eastAsia" w:ascii="新宋体" w:hAnsi="新宋体" w:eastAsia="方正仿宋简体" w:cs="方正仿宋简体"/>
          <w:b w:val="0"/>
          <w:bCs/>
          <w:strike w:val="0"/>
          <w:dstrike w:val="0"/>
          <w:spacing w:val="11"/>
          <w:sz w:val="32"/>
          <w:szCs w:val="32"/>
          <w:highlight w:val="none"/>
        </w:rPr>
        <w:t>（三）无</w:t>
      </w:r>
      <w:r>
        <w:rPr>
          <w:rFonts w:hint="eastAsia" w:ascii="新宋体" w:hAnsi="新宋体" w:eastAsia="方正仿宋简体" w:cs="方正仿宋简体"/>
          <w:b w:val="0"/>
          <w:bCs/>
          <w:spacing w:val="11"/>
          <w:sz w:val="32"/>
          <w:szCs w:val="32"/>
        </w:rPr>
        <w:t>犯罪记录。</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除前款规定外，从事公共汽电车运营服务的驾驶员还应当具备下列条件：</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（一）取得相应准驾车型机动车驾驶证且实习期满；</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（二）最近连续3个记分周期内没有记满12分违规记录；</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（三）无交通肇事、危险驾驶犯罪记录，无饮酒后驾驶记录；</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（四）法律、法规规定的其他条件。</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驾驶员、乘务员经岗前培训考核合格方可上岗，</w:t>
      </w:r>
      <w:r>
        <w:rPr>
          <w:rFonts w:hint="eastAsia" w:ascii="新宋体" w:hAnsi="新宋体" w:eastAsia="方正仿宋简体" w:cs="方正仿宋简体"/>
          <w:b w:val="0"/>
          <w:bCs/>
          <w:spacing w:val="11"/>
          <w:sz w:val="32"/>
          <w:szCs w:val="32"/>
          <w:lang w:eastAsia="zh-CN"/>
        </w:rPr>
        <w:t>城市公共汽电车</w:t>
      </w:r>
      <w:r>
        <w:rPr>
          <w:rFonts w:hint="eastAsia" w:ascii="新宋体" w:hAnsi="新宋体" w:eastAsia="方正仿宋简体" w:cs="方正仿宋简体"/>
          <w:b w:val="0"/>
          <w:bCs/>
          <w:spacing w:val="11"/>
          <w:sz w:val="32"/>
          <w:szCs w:val="32"/>
        </w:rPr>
        <w:t>企业应定期对其进行有关法律法规、岗位职责、操作规程、服务规范、安全防范和应急处置等知识技能的培训考核。</w:t>
      </w:r>
      <w:r>
        <w:rPr>
          <w:rFonts w:hint="eastAsia" w:ascii="新宋体" w:hAnsi="新宋体" w:eastAsia="方正仿宋简体" w:cs="方正仿宋简体"/>
          <w:b w:val="0"/>
          <w:bCs/>
          <w:spacing w:val="11"/>
          <w:sz w:val="32"/>
          <w:szCs w:val="32"/>
          <w:lang w:eastAsia="zh-CN"/>
        </w:rPr>
        <w:t>城市公共汽电车</w:t>
      </w:r>
      <w:r>
        <w:rPr>
          <w:rFonts w:hint="eastAsia" w:ascii="新宋体" w:hAnsi="新宋体" w:eastAsia="方正仿宋简体" w:cs="方正仿宋简体"/>
          <w:b w:val="0"/>
          <w:bCs/>
          <w:spacing w:val="11"/>
          <w:sz w:val="32"/>
          <w:szCs w:val="32"/>
        </w:rPr>
        <w:t>企业应当建立驾驶员、乘务员定期体检制度、心理疏导制度。</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2"/>
          <w:szCs w:val="24"/>
          <w:lang w:val="en-US" w:eastAsia="zh-CN" w:bidi="ar-SA"/>
        </w:rPr>
        <w:t xml:space="preserve">第二十五条  </w:t>
      </w:r>
      <w:r>
        <w:rPr>
          <w:rFonts w:hint="eastAsia" w:ascii="新宋体" w:hAnsi="新宋体" w:eastAsia="方正仿宋简体" w:cs="方正仿宋简体"/>
          <w:b w:val="0"/>
          <w:bCs/>
          <w:spacing w:val="11"/>
          <w:kern w:val="2"/>
          <w:sz w:val="32"/>
          <w:szCs w:val="24"/>
          <w:lang w:val="en-US" w:eastAsia="zh-CN" w:bidi="ar-SA"/>
        </w:rPr>
        <w:t>【乘客义务】</w:t>
      </w:r>
      <w:r>
        <w:rPr>
          <w:rFonts w:hint="eastAsia" w:ascii="新宋体" w:hAnsi="新宋体" w:eastAsia="方正仿宋简体" w:cs="方正仿宋简体"/>
          <w:b w:val="0"/>
          <w:bCs/>
          <w:spacing w:val="11"/>
          <w:sz w:val="32"/>
          <w:szCs w:val="32"/>
        </w:rPr>
        <w:t>乘客应当文明乘车，遵守国家、省、市规定</w:t>
      </w:r>
      <w:r>
        <w:rPr>
          <w:rFonts w:hint="eastAsia" w:ascii="新宋体" w:hAnsi="新宋体" w:eastAsia="方正仿宋简体" w:cs="方正仿宋简体"/>
          <w:b w:val="0"/>
          <w:bCs/>
          <w:spacing w:val="11"/>
          <w:sz w:val="32"/>
          <w:szCs w:val="32"/>
          <w:lang w:eastAsia="zh-CN"/>
        </w:rPr>
        <w:t>的</w:t>
      </w:r>
      <w:r>
        <w:rPr>
          <w:rFonts w:hint="eastAsia" w:ascii="新宋体" w:hAnsi="新宋体" w:eastAsia="方正仿宋简体" w:cs="方正仿宋简体"/>
          <w:b w:val="0"/>
          <w:bCs/>
          <w:spacing w:val="11"/>
          <w:sz w:val="32"/>
          <w:szCs w:val="32"/>
        </w:rPr>
        <w:t>乘车规则。</w:t>
      </w:r>
      <w:r>
        <w:rPr>
          <w:rFonts w:hint="eastAsia" w:ascii="新宋体" w:hAnsi="新宋体" w:eastAsia="方正仿宋简体" w:cs="方正仿宋简体"/>
          <w:b w:val="0"/>
          <w:bCs/>
          <w:spacing w:val="11"/>
          <w:sz w:val="32"/>
          <w:szCs w:val="32"/>
          <w:lang w:eastAsia="zh-CN"/>
        </w:rPr>
        <w:t>对不文明乘车行为，司乘人</w:t>
      </w:r>
      <w:r>
        <w:rPr>
          <w:rFonts w:hint="eastAsia" w:ascii="新宋体" w:hAnsi="新宋体" w:eastAsia="方正仿宋简体" w:cs="方正仿宋简体"/>
          <w:b w:val="0"/>
          <w:bCs/>
          <w:spacing w:val="11"/>
          <w:sz w:val="32"/>
          <w:szCs w:val="32"/>
        </w:rPr>
        <w:t>员应当及时制止或者劝阻；经制止或者劝阻拒不改正的，可以拒绝为其提供运营服务。</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84" w:firstLineChars="200"/>
        <w:textAlignment w:val="auto"/>
        <w:rPr>
          <w:rFonts w:hint="eastAsia" w:ascii="新宋体" w:hAnsi="新宋体" w:eastAsia="方正仿宋简体" w:cs="方正仿宋简体"/>
          <w:b w:val="0"/>
          <w:bCs/>
          <w:spacing w:val="11"/>
          <w:sz w:val="32"/>
          <w:szCs w:val="32"/>
        </w:rPr>
      </w:pPr>
      <w:r>
        <w:rPr>
          <w:rFonts w:hint="eastAsia" w:ascii="黑体" w:hAnsi="黑体" w:eastAsia="黑体" w:cs="黑体"/>
          <w:b w:val="0"/>
          <w:bCs/>
          <w:spacing w:val="11"/>
          <w:kern w:val="2"/>
          <w:sz w:val="32"/>
          <w:szCs w:val="24"/>
          <w:lang w:val="en-US" w:eastAsia="zh-CN" w:bidi="ar-SA"/>
        </w:rPr>
        <w:t xml:space="preserve">第二十六条  </w:t>
      </w:r>
      <w:r>
        <w:rPr>
          <w:rFonts w:hint="eastAsia" w:ascii="新宋体" w:hAnsi="新宋体" w:eastAsia="方正仿宋简体" w:cs="方正仿宋简体"/>
          <w:b w:val="0"/>
          <w:bCs/>
          <w:spacing w:val="11"/>
          <w:kern w:val="2"/>
          <w:sz w:val="32"/>
          <w:szCs w:val="24"/>
          <w:lang w:val="en-US" w:eastAsia="zh-CN" w:bidi="ar-SA"/>
        </w:rPr>
        <w:t>【服务多元化】</w:t>
      </w:r>
      <w:r>
        <w:rPr>
          <w:rFonts w:hint="eastAsia" w:ascii="新宋体" w:hAnsi="新宋体" w:eastAsia="方正仿宋简体" w:cs="方正仿宋简体"/>
          <w:b w:val="0"/>
          <w:bCs/>
          <w:spacing w:val="11"/>
          <w:sz w:val="32"/>
          <w:szCs w:val="32"/>
        </w:rPr>
        <w:t>鼓励支持城市公共汽电车企业开通通勤、通学、就医等定制公交线路，提供夜间线路、大站快线、微循环线路</w:t>
      </w:r>
      <w:r>
        <w:rPr>
          <w:rFonts w:hint="eastAsia" w:ascii="新宋体" w:hAnsi="新宋体" w:eastAsia="方正仿宋简体" w:cs="方正仿宋简体"/>
          <w:b w:val="0"/>
          <w:bCs/>
          <w:spacing w:val="11"/>
          <w:sz w:val="32"/>
          <w:szCs w:val="32"/>
          <w:lang w:eastAsia="zh-CN"/>
        </w:rPr>
        <w:t>、动态响应式线路</w:t>
      </w:r>
      <w:r>
        <w:rPr>
          <w:rFonts w:hint="eastAsia" w:ascii="新宋体" w:hAnsi="新宋体" w:eastAsia="方正仿宋简体" w:cs="方正仿宋简体"/>
          <w:b w:val="0"/>
          <w:bCs/>
          <w:spacing w:val="11"/>
          <w:sz w:val="32"/>
          <w:szCs w:val="32"/>
        </w:rPr>
        <w:t>等公共交通服务，方便社会公众出行、优化公共汽电车线网布局。</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lang w:val="en-US" w:eastAsia="zh-CN"/>
        </w:rPr>
      </w:pPr>
      <w:r>
        <w:rPr>
          <w:rFonts w:hint="eastAsia" w:ascii="新宋体" w:hAnsi="新宋体" w:eastAsia="方正仿宋简体" w:cs="方正仿宋简体"/>
          <w:b w:val="0"/>
          <w:bCs/>
          <w:spacing w:val="11"/>
          <w:sz w:val="32"/>
          <w:szCs w:val="32"/>
          <w:lang w:eastAsia="zh-CN"/>
        </w:rPr>
        <w:t>大力弘扬和发展先进公交文化，</w:t>
      </w:r>
      <w:r>
        <w:rPr>
          <w:rFonts w:hint="eastAsia" w:ascii="新宋体" w:hAnsi="新宋体" w:eastAsia="方正仿宋简体" w:cs="方正仿宋简体"/>
          <w:b w:val="0"/>
          <w:bCs/>
          <w:spacing w:val="11"/>
          <w:sz w:val="32"/>
          <w:szCs w:val="32"/>
        </w:rPr>
        <w:t>鼓励支持城市公共汽电车企业</w:t>
      </w:r>
      <w:r>
        <w:rPr>
          <w:rFonts w:hint="eastAsia" w:ascii="新宋体" w:hAnsi="新宋体" w:eastAsia="方正仿宋简体" w:cs="方正仿宋简体"/>
          <w:b w:val="0"/>
          <w:bCs/>
          <w:spacing w:val="11"/>
          <w:sz w:val="32"/>
          <w:szCs w:val="32"/>
          <w:lang w:eastAsia="zh-CN"/>
        </w:rPr>
        <w:t>创建特色精品线路，打造主题文化车厢，推进品质公交、品牌公交建设</w:t>
      </w:r>
      <w:r>
        <w:rPr>
          <w:rFonts w:hint="eastAsia" w:ascii="新宋体" w:hAnsi="新宋体" w:eastAsia="方正仿宋简体" w:cs="方正仿宋简体"/>
          <w:b w:val="0"/>
          <w:bCs/>
          <w:spacing w:val="11"/>
          <w:sz w:val="32"/>
          <w:szCs w:val="32"/>
          <w:lang w:val="en-US" w:eastAsia="zh-CN"/>
        </w:rPr>
        <w:t>。</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第二十七条  </w:t>
      </w:r>
      <w:r>
        <w:rPr>
          <w:rFonts w:hint="eastAsia" w:ascii="新宋体" w:hAnsi="新宋体" w:eastAsia="方正仿宋简体" w:cs="方正仿宋简体"/>
          <w:b w:val="0"/>
          <w:bCs/>
          <w:spacing w:val="11"/>
        </w:rPr>
        <w:t>【举报投诉】交通运输主管部门和</w:t>
      </w:r>
      <w:r>
        <w:rPr>
          <w:rFonts w:hint="eastAsia" w:ascii="新宋体" w:hAnsi="新宋体" w:eastAsia="方正仿宋简体" w:cs="方正仿宋简体"/>
          <w:b w:val="0"/>
          <w:bCs/>
          <w:spacing w:val="11"/>
          <w:lang w:eastAsia="zh-CN"/>
        </w:rPr>
        <w:t>城市</w:t>
      </w:r>
      <w:r>
        <w:rPr>
          <w:rFonts w:hint="eastAsia" w:ascii="新宋体" w:hAnsi="新宋体" w:eastAsia="方正仿宋简体" w:cs="方正仿宋简体"/>
          <w:b w:val="0"/>
          <w:bCs/>
          <w:spacing w:val="11"/>
        </w:rPr>
        <w:t>公共汽电车企业应当分别建立举报、投诉制度，公开举报、投诉电话。受理举报、投诉后，应当在</w:t>
      </w:r>
      <w:r>
        <w:rPr>
          <w:rFonts w:hint="eastAsia" w:ascii="新宋体" w:hAnsi="新宋体" w:eastAsia="方正仿宋简体" w:cs="方正仿宋简体"/>
          <w:b w:val="0"/>
          <w:bCs/>
          <w:spacing w:val="11"/>
          <w:lang w:eastAsia="zh-CN"/>
        </w:rPr>
        <w:t>七</w:t>
      </w:r>
      <w:r>
        <w:rPr>
          <w:rFonts w:hint="eastAsia" w:ascii="新宋体" w:hAnsi="新宋体" w:eastAsia="方正仿宋简体" w:cs="方正仿宋简体"/>
          <w:b w:val="0"/>
          <w:bCs/>
          <w:spacing w:val="11"/>
        </w:rPr>
        <w:t>个工作日内调查处理完毕，并将调查、处理结果及时反馈举报人、投诉人。</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第二十八条  </w:t>
      </w:r>
      <w:r>
        <w:rPr>
          <w:rFonts w:hint="eastAsia" w:ascii="新宋体" w:hAnsi="新宋体" w:eastAsia="方正仿宋简体" w:cs="方正仿宋简体"/>
          <w:b w:val="0"/>
          <w:bCs/>
          <w:spacing w:val="11"/>
        </w:rPr>
        <w:t>【考核评价】交通运输主管部门应当建立服务质量监督管理制度，对</w:t>
      </w:r>
      <w:r>
        <w:rPr>
          <w:rFonts w:hint="eastAsia" w:ascii="新宋体" w:hAnsi="新宋体" w:eastAsia="方正仿宋简体" w:cs="方正仿宋简体"/>
          <w:b w:val="0"/>
          <w:bCs/>
          <w:spacing w:val="11"/>
          <w:lang w:eastAsia="zh-CN"/>
        </w:rPr>
        <w:t>城市公共汽电车企业</w:t>
      </w:r>
      <w:r>
        <w:rPr>
          <w:rFonts w:hint="eastAsia" w:ascii="新宋体" w:hAnsi="新宋体" w:eastAsia="方正仿宋简体" w:cs="方正仿宋简体"/>
          <w:b w:val="0"/>
          <w:bCs/>
          <w:spacing w:val="11"/>
        </w:rPr>
        <w:t>进行考核，建立经营者信用档案，考核不合格的，责令其限期整改，并将考核结果记入信用档案。</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交通运输主管部门应当建立城市公共交通社会评价机制，定期组织对</w:t>
      </w:r>
      <w:r>
        <w:rPr>
          <w:rFonts w:hint="eastAsia" w:ascii="新宋体" w:hAnsi="新宋体" w:eastAsia="方正仿宋简体" w:cs="方正仿宋简体"/>
          <w:b w:val="0"/>
          <w:bCs/>
          <w:spacing w:val="11"/>
          <w:sz w:val="32"/>
          <w:szCs w:val="32"/>
          <w:lang w:eastAsia="zh-CN"/>
        </w:rPr>
        <w:t>城市公共汽电车企业</w:t>
      </w:r>
      <w:r>
        <w:rPr>
          <w:rFonts w:hint="eastAsia" w:ascii="新宋体" w:hAnsi="新宋体" w:eastAsia="方正仿宋简体" w:cs="方正仿宋简体"/>
          <w:b w:val="0"/>
          <w:bCs/>
          <w:spacing w:val="11"/>
          <w:sz w:val="32"/>
          <w:szCs w:val="32"/>
        </w:rPr>
        <w:t>运营服务状况进行评议，评议结果向社会公布。</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sz w:val="32"/>
          <w:szCs w:val="32"/>
          <w:lang w:eastAsia="zh-CN"/>
        </w:rPr>
        <w:t>第四章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rPr>
        <w:t>运营管理</w:t>
      </w:r>
    </w:p>
    <w:p>
      <w:pPr>
        <w:pStyle w:val="12"/>
        <w:keepNext w:val="0"/>
        <w:keepLines w:val="0"/>
        <w:pageBreakBefore w:val="0"/>
        <w:widowControl w:val="0"/>
        <w:kinsoku/>
        <w:wordWrap/>
        <w:overflowPunct w:val="0"/>
        <w:topLinePunct w:val="0"/>
        <w:autoSpaceDE/>
        <w:autoSpaceDN w:val="0"/>
        <w:bidi w:val="0"/>
        <w:adjustRightInd/>
        <w:snapToGrid/>
        <w:spacing w:after="0" w:line="578" w:lineRule="exact"/>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 xml:space="preserve"> </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第二十九条  </w:t>
      </w:r>
      <w:r>
        <w:rPr>
          <w:rFonts w:hint="eastAsia" w:ascii="新宋体" w:hAnsi="新宋体" w:eastAsia="方正仿宋简体" w:cs="方正仿宋简体"/>
          <w:b w:val="0"/>
          <w:bCs/>
          <w:spacing w:val="11"/>
        </w:rPr>
        <w:t>【运营企业及协议】承担城市公共汽电车客运的企业由市、县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人民政府或者其市、县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交通运输主管部门依法确定。</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城市公共汽电车企业不得转让、出租或者以承包、抵押、出借等方式变相转让、出租城市公共汽电车运营线路。</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lang w:eastAsia="zh-CN"/>
        </w:rPr>
      </w:pPr>
      <w:r>
        <w:rPr>
          <w:rFonts w:hint="eastAsia" w:ascii="新宋体" w:hAnsi="新宋体" w:eastAsia="方正仿宋简体" w:cs="方正仿宋简体"/>
          <w:b w:val="0"/>
          <w:bCs/>
          <w:spacing w:val="11"/>
          <w:sz w:val="32"/>
          <w:szCs w:val="32"/>
        </w:rPr>
        <w:t>城市公共汽电车企业</w:t>
      </w:r>
      <w:r>
        <w:rPr>
          <w:rFonts w:hint="eastAsia" w:ascii="新宋体" w:hAnsi="新宋体" w:eastAsia="方正仿宋简体" w:cs="方正仿宋简体"/>
          <w:b w:val="0"/>
          <w:bCs/>
          <w:spacing w:val="11"/>
          <w:sz w:val="32"/>
          <w:szCs w:val="32"/>
          <w:lang w:eastAsia="zh-CN"/>
        </w:rPr>
        <w:t>应当通过便于公众知晓的方式，及时公开运营线路、停靠站点、运营时间、票价等信息并提供信息查询服务。</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第三十条  </w:t>
      </w:r>
      <w:r>
        <w:rPr>
          <w:rFonts w:hint="eastAsia" w:ascii="新宋体" w:hAnsi="新宋体" w:eastAsia="方正仿宋简体" w:cs="方正仿宋简体"/>
          <w:b w:val="0"/>
          <w:bCs/>
          <w:spacing w:val="11"/>
        </w:rPr>
        <w:t>【停止运营】未经市、县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人民政府同意，城市公共汽电车企业不得终止运营服务。确需暂停或者终止的，应当提前30日向交通运输主管部门报告，交通运输主管部门应当及时采取措施，确保运营服务不中断；需要重新确定承担城市公共汽电车企业的，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人民政府或者其市、县</w:t>
      </w:r>
      <w:r>
        <w:rPr>
          <w:rFonts w:hint="eastAsia" w:ascii="新宋体" w:hAnsi="新宋体" w:eastAsia="方正仿宋简体" w:cs="方正仿宋简体"/>
          <w:b w:val="0"/>
          <w:bCs/>
          <w:spacing w:val="11"/>
          <w:lang w:eastAsia="zh-CN"/>
        </w:rPr>
        <w:t>（区）</w:t>
      </w:r>
      <w:r>
        <w:rPr>
          <w:rFonts w:hint="eastAsia" w:ascii="新宋体" w:hAnsi="新宋体" w:eastAsia="方正仿宋简体" w:cs="方正仿宋简体"/>
          <w:b w:val="0"/>
          <w:bCs/>
          <w:spacing w:val="11"/>
        </w:rPr>
        <w:t>交通运输主管部门应当按照规定及时确定。</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第三十一条 </w:t>
      </w:r>
      <w:r>
        <w:rPr>
          <w:rFonts w:hint="eastAsia" w:ascii="新宋体" w:hAnsi="新宋体" w:eastAsia="方正仿宋简体" w:cs="方正仿宋简体"/>
          <w:b w:val="0"/>
          <w:bCs/>
          <w:spacing w:val="11"/>
          <w:kern w:val="0"/>
          <w:sz w:val="32"/>
          <w:szCs w:val="32"/>
          <w:lang w:val="en-US" w:eastAsia="zh-CN" w:bidi="ar-SA"/>
        </w:rPr>
        <w:t xml:space="preserve"> </w:t>
      </w:r>
      <w:r>
        <w:rPr>
          <w:rFonts w:hint="eastAsia" w:ascii="新宋体" w:hAnsi="新宋体" w:eastAsia="方正仿宋简体" w:cs="方正仿宋简体"/>
          <w:b w:val="0"/>
          <w:bCs/>
          <w:spacing w:val="11"/>
        </w:rPr>
        <w:t>【暂停、临时变更线路】因自然灾害、恶劣气象条件、城市基础设施施工、大型群众性活动、交通管制等特殊原因，影响城市公共交通线路正常运营的，有关部门应当提前告知交通运输主管部门。需要临时变更、暂停城市公共汽电车客运线路运营的，交通运输主管部门、运营企业应当及时向社会公告。</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第三十二条  </w:t>
      </w:r>
      <w:r>
        <w:rPr>
          <w:rFonts w:hint="eastAsia" w:ascii="新宋体" w:hAnsi="新宋体" w:eastAsia="方正仿宋简体" w:cs="方正仿宋简体"/>
          <w:b w:val="0"/>
          <w:bCs/>
          <w:spacing w:val="11"/>
        </w:rPr>
        <w:t>【公交票价】城市公共汽电车客运票价实行政府定价或者政府指导价，并建立动态调整机制。鼓励根据服务质量、运输距离以及换乘方式等因素，建立多层次、差别化的城市公共汽电车客运票价体系。</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市</w:t>
      </w:r>
      <w:r>
        <w:rPr>
          <w:rFonts w:hint="eastAsia" w:ascii="新宋体" w:hAnsi="新宋体" w:eastAsia="方正仿宋简体" w:cs="方正仿宋简体"/>
          <w:b w:val="0"/>
          <w:bCs/>
          <w:spacing w:val="11"/>
          <w:kern w:val="2"/>
          <w:sz w:val="32"/>
          <w:szCs w:val="24"/>
          <w:lang w:val="en-US" w:eastAsia="zh-CN" w:bidi="ar-SA"/>
        </w:rPr>
        <w:t>、县（区）人民政府</w:t>
      </w:r>
      <w:r>
        <w:rPr>
          <w:rFonts w:hint="eastAsia" w:ascii="新宋体" w:hAnsi="新宋体" w:eastAsia="方正仿宋简体" w:cs="方正仿宋简体"/>
          <w:b w:val="0"/>
          <w:bCs/>
          <w:spacing w:val="11"/>
          <w:sz w:val="32"/>
          <w:szCs w:val="32"/>
        </w:rPr>
        <w:t>可以制定乘坐公共汽电车的票价优惠政策，明确优惠乘车的条件、范围、优惠时段、标准和办理程序等事项。</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老年人、儿童、残疾人、现役军人、退役军人按照相关规定享受免费乘车或者优惠乘车待遇。</w:t>
      </w: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lang w:eastAsia="zh-CN"/>
        </w:rPr>
      </w:pP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lang w:eastAsia="zh-CN"/>
        </w:rPr>
      </w:pPr>
      <w:r>
        <w:rPr>
          <w:rFonts w:hint="eastAsia" w:ascii="黑体" w:hAnsi="黑体" w:eastAsia="黑体" w:cs="黑体"/>
          <w:b w:val="0"/>
          <w:bCs/>
          <w:spacing w:val="11"/>
          <w:sz w:val="32"/>
          <w:szCs w:val="32"/>
          <w:lang w:eastAsia="zh-CN"/>
        </w:rPr>
        <w:t>第五章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lang w:eastAsia="zh-CN"/>
        </w:rPr>
        <w:t>运营安全</w:t>
      </w:r>
    </w:p>
    <w:p>
      <w:pPr>
        <w:pStyle w:val="12"/>
        <w:keepNext w:val="0"/>
        <w:keepLines w:val="0"/>
        <w:pageBreakBefore w:val="0"/>
        <w:widowControl w:val="0"/>
        <w:kinsoku/>
        <w:wordWrap/>
        <w:overflowPunct w:val="0"/>
        <w:topLinePunct w:val="0"/>
        <w:autoSpaceDE/>
        <w:autoSpaceDN w:val="0"/>
        <w:bidi w:val="0"/>
        <w:adjustRightInd/>
        <w:snapToGrid/>
        <w:spacing w:after="0" w:line="578" w:lineRule="exact"/>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 xml:space="preserve"> </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第三十三条  </w:t>
      </w:r>
      <w:r>
        <w:rPr>
          <w:rFonts w:hint="eastAsia" w:ascii="新宋体" w:hAnsi="新宋体" w:eastAsia="方正仿宋简体" w:cs="方正仿宋简体"/>
          <w:b w:val="0"/>
          <w:bCs/>
          <w:spacing w:val="11"/>
        </w:rPr>
        <w:t>【落实责任】</w:t>
      </w:r>
      <w:r>
        <w:rPr>
          <w:rFonts w:hint="eastAsia" w:ascii="新宋体" w:hAnsi="新宋体" w:eastAsia="方正仿宋简体" w:cs="方正仿宋简体"/>
          <w:b w:val="0"/>
          <w:bCs/>
          <w:spacing w:val="11"/>
          <w:lang w:eastAsia="zh-CN"/>
        </w:rPr>
        <w:t>城市公共汽电车</w:t>
      </w:r>
      <w:r>
        <w:rPr>
          <w:rFonts w:hint="eastAsia" w:ascii="新宋体" w:hAnsi="新宋体" w:eastAsia="方正仿宋简体" w:cs="方正仿宋简体"/>
          <w:b w:val="0"/>
          <w:bCs/>
          <w:spacing w:val="11"/>
        </w:rPr>
        <w:t>企业应当落实安全生产主体责任，建立健全企业安全生产管理制度和责任体系</w:t>
      </w:r>
      <w:r>
        <w:rPr>
          <w:rFonts w:hint="eastAsia" w:ascii="新宋体" w:hAnsi="新宋体" w:eastAsia="方正仿宋简体" w:cs="方正仿宋简体"/>
          <w:b w:val="0"/>
          <w:bCs/>
          <w:spacing w:val="6"/>
        </w:rPr>
        <w:t>，设立相应的安全管理机构，配备专职安全管理人员，定期开展安全检查和隐患排查，加强安全乘车和应急知识宣传。</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交通运输主管部门应当会同有关部门，定期进行安全检查，督促</w:t>
      </w:r>
      <w:r>
        <w:rPr>
          <w:rFonts w:hint="eastAsia" w:ascii="新宋体" w:hAnsi="新宋体" w:eastAsia="方正仿宋简体" w:cs="方正仿宋简体"/>
          <w:b w:val="0"/>
          <w:bCs/>
          <w:spacing w:val="11"/>
          <w:sz w:val="32"/>
          <w:szCs w:val="32"/>
          <w:lang w:eastAsia="zh-CN"/>
        </w:rPr>
        <w:t>城市公共汽电车</w:t>
      </w:r>
      <w:r>
        <w:rPr>
          <w:rFonts w:hint="eastAsia" w:ascii="新宋体" w:hAnsi="新宋体" w:eastAsia="方正仿宋简体" w:cs="方正仿宋简体"/>
          <w:b w:val="0"/>
          <w:bCs/>
          <w:spacing w:val="11"/>
          <w:sz w:val="32"/>
          <w:szCs w:val="32"/>
        </w:rPr>
        <w:t>企业及时消除安全隐患。</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第三十四条  </w:t>
      </w:r>
      <w:r>
        <w:rPr>
          <w:rFonts w:hint="eastAsia" w:ascii="新宋体" w:hAnsi="新宋体" w:eastAsia="方正仿宋简体" w:cs="方正仿宋简体"/>
          <w:b w:val="0"/>
          <w:bCs/>
          <w:spacing w:val="11"/>
        </w:rPr>
        <w:t>【应急处置】交通运输主管部门应当会同有关部门制定城市公共汽电车客运突发事件应急预案，报同级人民政府批准。</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城市公共汽电车</w:t>
      </w:r>
      <w:r>
        <w:rPr>
          <w:rFonts w:hint="eastAsia" w:ascii="新宋体" w:hAnsi="新宋体" w:eastAsia="方正仿宋简体" w:cs="方正仿宋简体"/>
          <w:b w:val="0"/>
          <w:bCs/>
          <w:spacing w:val="11"/>
          <w:sz w:val="32"/>
          <w:szCs w:val="32"/>
          <w:lang w:eastAsia="zh-CN"/>
        </w:rPr>
        <w:t>企业</w:t>
      </w:r>
      <w:r>
        <w:rPr>
          <w:rFonts w:hint="eastAsia" w:ascii="新宋体" w:hAnsi="新宋体" w:eastAsia="方正仿宋简体" w:cs="方正仿宋简体"/>
          <w:b w:val="0"/>
          <w:bCs/>
          <w:spacing w:val="11"/>
          <w:sz w:val="32"/>
          <w:szCs w:val="32"/>
        </w:rPr>
        <w:t>应当根据城市公共汽电车客运突发事件应急预案，制定本企业应急预案，并定期开展应急演练。</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第三十五条  </w:t>
      </w:r>
      <w:r>
        <w:rPr>
          <w:rFonts w:hint="eastAsia" w:ascii="新宋体" w:hAnsi="新宋体" w:eastAsia="方正仿宋简体" w:cs="方正仿宋简体"/>
          <w:b w:val="0"/>
          <w:bCs/>
          <w:spacing w:val="11"/>
        </w:rPr>
        <w:t>【安全标志及设备设置】城市公共汽电车</w:t>
      </w:r>
      <w:r>
        <w:rPr>
          <w:rFonts w:hint="eastAsia" w:ascii="新宋体" w:hAnsi="新宋体" w:eastAsia="方正仿宋简体" w:cs="方正仿宋简体"/>
          <w:b w:val="0"/>
          <w:bCs/>
          <w:spacing w:val="11"/>
          <w:lang w:eastAsia="zh-CN"/>
        </w:rPr>
        <w:t>企业</w:t>
      </w:r>
      <w:r>
        <w:rPr>
          <w:rFonts w:hint="eastAsia" w:ascii="新宋体" w:hAnsi="新宋体" w:eastAsia="方正仿宋简体" w:cs="方正仿宋简体"/>
          <w:b w:val="0"/>
          <w:bCs/>
          <w:spacing w:val="11"/>
        </w:rPr>
        <w:t>应当在城市公共汽电车客运车辆和场站醒目位置设置安全警示标识、安全疏散示意图等，为车辆配备灭火器、安全锤等安全应急设备，并定期检查、更换，保证安全应急设备处于良好状态。</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第三十六条  </w:t>
      </w:r>
      <w:r>
        <w:rPr>
          <w:rFonts w:hint="eastAsia" w:ascii="新宋体" w:hAnsi="新宋体" w:eastAsia="方正仿宋简体" w:cs="方正仿宋简体"/>
          <w:b w:val="0"/>
          <w:bCs/>
          <w:spacing w:val="11"/>
        </w:rPr>
        <w:t>【禁止行为】禁止下列扰乱乘车秩序、妨害城市公共汽电车客运安全的行为：</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（一）辱骂、殴打、拉拽驾驶员，抢夺车辆方向盘、变速杆等操纵装置，以及其他妨害安全驾驶的行为；</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（二）非法拦截、强行上下运营车辆；</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（三）携带易燃、易爆、毒害性、放射性、腐蚀性以及其他有可能危及人身财产安全的物品；</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（四）擅自操作有警示标志的车辆按钮、开关装置，非紧急状态下动用紧急或者安全装置；</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（五）在城市公共汽电车客运场站及其出入口通道擅自停放非城市公共汽电车客运车辆、堆放杂物或者摆摊设点等；</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（六）违反规定进入城市公共汽电车客运车辆专用道；</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（七）擅自进入车辆调度中心、车辆基地或者其他明示禁入的区域；</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w:t>
      </w:r>
      <w:r>
        <w:rPr>
          <w:rFonts w:hint="eastAsia" w:ascii="新宋体" w:hAnsi="新宋体" w:eastAsia="方正仿宋简体" w:cs="方正仿宋简体"/>
          <w:b w:val="0"/>
          <w:bCs/>
          <w:spacing w:val="11"/>
          <w:sz w:val="32"/>
          <w:szCs w:val="32"/>
          <w:lang w:eastAsia="zh-CN"/>
        </w:rPr>
        <w:t>八</w:t>
      </w:r>
      <w:r>
        <w:rPr>
          <w:rFonts w:hint="eastAsia" w:ascii="新宋体" w:hAnsi="新宋体" w:eastAsia="方正仿宋简体" w:cs="方正仿宋简体"/>
          <w:b w:val="0"/>
          <w:bCs/>
          <w:spacing w:val="11"/>
          <w:sz w:val="32"/>
          <w:szCs w:val="32"/>
        </w:rPr>
        <w:t>）在公交站点前后</w:t>
      </w:r>
      <w:r>
        <w:rPr>
          <w:rFonts w:hint="eastAsia" w:ascii="新宋体" w:hAnsi="新宋体" w:eastAsia="方正仿宋简体" w:cs="方正仿宋简体"/>
          <w:b w:val="0"/>
          <w:bCs/>
          <w:spacing w:val="11"/>
          <w:sz w:val="32"/>
          <w:szCs w:val="32"/>
          <w:lang w:eastAsia="zh-CN"/>
        </w:rPr>
        <w:t>三十</w:t>
      </w:r>
      <w:r>
        <w:rPr>
          <w:rFonts w:hint="eastAsia" w:ascii="新宋体" w:hAnsi="新宋体" w:eastAsia="方正仿宋简体" w:cs="方正仿宋简体"/>
          <w:b w:val="0"/>
          <w:bCs/>
          <w:spacing w:val="11"/>
          <w:sz w:val="32"/>
          <w:szCs w:val="32"/>
        </w:rPr>
        <w:t>米内停放其他社会车辆；</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w:t>
      </w:r>
      <w:r>
        <w:rPr>
          <w:rFonts w:hint="eastAsia" w:ascii="新宋体" w:hAnsi="新宋体" w:eastAsia="方正仿宋简体" w:cs="方正仿宋简体"/>
          <w:b w:val="0"/>
          <w:bCs/>
          <w:spacing w:val="11"/>
          <w:sz w:val="32"/>
          <w:szCs w:val="32"/>
          <w:lang w:eastAsia="zh-CN"/>
        </w:rPr>
        <w:t>九</w:t>
      </w:r>
      <w:r>
        <w:rPr>
          <w:rFonts w:hint="eastAsia" w:ascii="新宋体" w:hAnsi="新宋体" w:eastAsia="方正仿宋简体" w:cs="方正仿宋简体"/>
          <w:b w:val="0"/>
          <w:bCs/>
          <w:spacing w:val="11"/>
          <w:sz w:val="32"/>
          <w:szCs w:val="32"/>
        </w:rPr>
        <w:t>）其他扰乱乘车秩序、妨害客运安全的行为。</w:t>
      </w:r>
    </w:p>
    <w:p>
      <w:pPr>
        <w:pStyle w:val="11"/>
        <w:keepNext w:val="0"/>
        <w:keepLines w:val="0"/>
        <w:pageBreakBefore w:val="0"/>
        <w:widowControl w:val="0"/>
        <w:kinsoku/>
        <w:wordWrap/>
        <w:overflowPunct w:val="0"/>
        <w:topLinePunct w:val="0"/>
        <w:autoSpaceDE/>
        <w:autoSpaceDN w:val="0"/>
        <w:bidi w:val="0"/>
        <w:adjustRightInd/>
        <w:snapToGrid/>
        <w:spacing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城市公共汽电车企业及其工作人员发现上述行为的，应当及时采取有效措施予以制止；制止无效的，应当及时报告相关部门依法处置。</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第三十七条  </w:t>
      </w:r>
      <w:r>
        <w:rPr>
          <w:rFonts w:hint="eastAsia" w:ascii="新宋体" w:hAnsi="新宋体" w:eastAsia="方正仿宋简体" w:cs="方正仿宋简体"/>
          <w:b w:val="0"/>
          <w:bCs/>
          <w:spacing w:val="11"/>
        </w:rPr>
        <w:t>【见义勇为】公民有权制止干扰驾驶员安全驾驶和其他危害公共安全的违法行为；被认定为见义勇为的，由市、县（区）人民政府依法给予表彰、奖励，其所在单位也可以予以适当奖励。</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kern w:val="0"/>
          <w:sz w:val="32"/>
          <w:szCs w:val="32"/>
          <w:lang w:val="en-US" w:eastAsia="zh-CN" w:bidi="ar-SA"/>
        </w:rPr>
      </w:pPr>
      <w:r>
        <w:rPr>
          <w:rFonts w:hint="eastAsia" w:ascii="黑体" w:hAnsi="黑体" w:eastAsia="黑体" w:cs="黑体"/>
          <w:b w:val="0"/>
          <w:bCs/>
          <w:spacing w:val="11"/>
          <w:lang w:val="en-US" w:eastAsia="zh-CN"/>
        </w:rPr>
        <w:t xml:space="preserve">第三十八条  </w:t>
      </w:r>
      <w:r>
        <w:rPr>
          <w:rFonts w:hint="eastAsia" w:ascii="新宋体" w:hAnsi="新宋体" w:eastAsia="方正仿宋简体" w:cs="方正仿宋简体"/>
          <w:b w:val="0"/>
          <w:bCs/>
          <w:spacing w:val="11"/>
        </w:rPr>
        <w:t>【广告使用】利用车辆和设施设置广告的，应当遵守有关广告管理法律法规。广告设置不得覆盖站牌标识和车辆运营标识，</w:t>
      </w:r>
      <w:r>
        <w:rPr>
          <w:rFonts w:hint="eastAsia" w:ascii="新宋体" w:hAnsi="新宋体" w:eastAsia="方正仿宋简体" w:cs="方正仿宋简体"/>
          <w:b w:val="0"/>
          <w:bCs/>
          <w:spacing w:val="11"/>
          <w:lang w:eastAsia="zh-CN"/>
        </w:rPr>
        <w:t>不得妨碍安全视距，</w:t>
      </w:r>
      <w:r>
        <w:rPr>
          <w:rFonts w:hint="eastAsia" w:ascii="新宋体" w:hAnsi="新宋体" w:eastAsia="方正仿宋简体" w:cs="方正仿宋简体"/>
          <w:b w:val="0"/>
          <w:bCs/>
          <w:spacing w:val="11"/>
        </w:rPr>
        <w:t>不得妨碍车辆行驶</w:t>
      </w:r>
      <w:r>
        <w:rPr>
          <w:rFonts w:hint="eastAsia" w:ascii="新宋体" w:hAnsi="新宋体" w:eastAsia="方正仿宋简体" w:cs="方正仿宋简体"/>
          <w:b w:val="0"/>
          <w:bCs/>
          <w:spacing w:val="11"/>
          <w:kern w:val="0"/>
          <w:sz w:val="32"/>
          <w:szCs w:val="32"/>
          <w:lang w:val="en-US" w:eastAsia="zh-CN" w:bidi="ar-SA"/>
        </w:rPr>
        <w:t>安全。</w:t>
      </w:r>
    </w:p>
    <w:p>
      <w:pPr>
        <w:rPr>
          <w:rFonts w:hint="eastAsia"/>
          <w:lang w:val="en-US" w:eastAsia="zh-CN"/>
        </w:rPr>
      </w:pPr>
      <w:r>
        <w:rPr>
          <w:rFonts w:hint="eastAsia"/>
          <w:lang w:val="en-US" w:eastAsia="zh-CN"/>
        </w:rPr>
        <w:br w:type="page"/>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kern w:val="0"/>
          <w:sz w:val="32"/>
          <w:szCs w:val="32"/>
          <w:lang w:val="en-US" w:eastAsia="zh-CN" w:bidi="ar-SA"/>
        </w:rPr>
        <w:t xml:space="preserve">第六章  </w:t>
      </w:r>
      <w:r>
        <w:rPr>
          <w:rFonts w:hint="eastAsia" w:ascii="黑体" w:hAnsi="黑体" w:eastAsia="黑体" w:cs="黑体"/>
          <w:b w:val="0"/>
          <w:bCs/>
          <w:spacing w:val="11"/>
          <w:sz w:val="32"/>
          <w:szCs w:val="32"/>
        </w:rPr>
        <w:t>法律责任</w:t>
      </w:r>
    </w:p>
    <w:p>
      <w:pPr>
        <w:pStyle w:val="12"/>
        <w:keepNext w:val="0"/>
        <w:keepLines w:val="0"/>
        <w:pageBreakBefore w:val="0"/>
        <w:widowControl w:val="0"/>
        <w:kinsoku/>
        <w:wordWrap/>
        <w:overflowPunct w:val="0"/>
        <w:topLinePunct w:val="0"/>
        <w:autoSpaceDE/>
        <w:bidi w:val="0"/>
        <w:adjustRightInd/>
        <w:snapToGrid/>
        <w:spacing w:after="0" w:line="578" w:lineRule="exact"/>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 xml:space="preserve"> </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第三十九条  </w:t>
      </w:r>
      <w:r>
        <w:rPr>
          <w:rFonts w:hint="eastAsia" w:ascii="新宋体" w:hAnsi="新宋体" w:eastAsia="方正仿宋简体" w:cs="方正仿宋简体"/>
          <w:b w:val="0"/>
          <w:bCs/>
          <w:spacing w:val="11"/>
        </w:rPr>
        <w:t>【转致条款】违反本条例规定的行为，法律、法规已有法律责任规定的，从其规定。</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第四十条  </w:t>
      </w:r>
      <w:r>
        <w:rPr>
          <w:rFonts w:hint="eastAsia" w:ascii="新宋体" w:hAnsi="新宋体" w:eastAsia="方正仿宋简体" w:cs="方正仿宋简体"/>
          <w:b w:val="0"/>
          <w:bCs/>
          <w:spacing w:val="11"/>
        </w:rPr>
        <w:t>【处罚措施】违反本条例第十</w:t>
      </w:r>
      <w:r>
        <w:rPr>
          <w:rFonts w:hint="eastAsia" w:ascii="新宋体" w:hAnsi="新宋体" w:eastAsia="方正仿宋简体" w:cs="方正仿宋简体"/>
          <w:b w:val="0"/>
          <w:bCs/>
          <w:spacing w:val="11"/>
          <w:lang w:eastAsia="zh-CN"/>
        </w:rPr>
        <w:t>七</w:t>
      </w:r>
      <w:r>
        <w:rPr>
          <w:rFonts w:hint="eastAsia" w:ascii="新宋体" w:hAnsi="新宋体" w:eastAsia="方正仿宋简体" w:cs="方正仿宋简体"/>
          <w:b w:val="0"/>
          <w:bCs/>
          <w:spacing w:val="11"/>
        </w:rPr>
        <w:t>条规定的，由交通运输主管部门责令恢复原状或者赔偿损失，处</w:t>
      </w:r>
      <w:r>
        <w:rPr>
          <w:rFonts w:hint="eastAsia" w:ascii="新宋体" w:hAnsi="新宋体" w:eastAsia="方正仿宋简体" w:cs="方正仿宋简体"/>
          <w:b w:val="0"/>
          <w:bCs/>
          <w:spacing w:val="11"/>
          <w:lang w:eastAsia="zh-CN"/>
        </w:rPr>
        <w:t>一千</w:t>
      </w:r>
      <w:r>
        <w:rPr>
          <w:rFonts w:hint="eastAsia" w:ascii="新宋体" w:hAnsi="新宋体" w:eastAsia="方正仿宋简体" w:cs="方正仿宋简体"/>
          <w:b w:val="0"/>
          <w:bCs/>
          <w:spacing w:val="11"/>
        </w:rPr>
        <w:t>元以上</w:t>
      </w:r>
      <w:r>
        <w:rPr>
          <w:rFonts w:hint="eastAsia" w:ascii="新宋体" w:hAnsi="新宋体" w:eastAsia="方正仿宋简体" w:cs="方正仿宋简体"/>
          <w:b w:val="0"/>
          <w:bCs/>
          <w:spacing w:val="11"/>
          <w:lang w:eastAsia="zh-CN"/>
        </w:rPr>
        <w:t>五千</w:t>
      </w:r>
      <w:r>
        <w:rPr>
          <w:rFonts w:hint="eastAsia" w:ascii="新宋体" w:hAnsi="新宋体" w:eastAsia="方正仿宋简体" w:cs="方正仿宋简体"/>
          <w:b w:val="0"/>
          <w:bCs/>
          <w:spacing w:val="11"/>
        </w:rPr>
        <w:t>元以下罚款。</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第四十一条  </w:t>
      </w:r>
      <w:r>
        <w:rPr>
          <w:rFonts w:hint="eastAsia" w:ascii="新宋体" w:hAnsi="新宋体" w:eastAsia="方正仿宋简体" w:cs="方正仿宋简体"/>
          <w:b w:val="0"/>
          <w:bCs/>
          <w:spacing w:val="11"/>
        </w:rPr>
        <w:t>【处罚措施】市、县（区）人民政府及其有关部门的工作人员违反本条例规定，滥用职权、玩忽职守、徇私舞弊的，依法给予处分。</w:t>
      </w:r>
    </w:p>
    <w:p>
      <w:pPr>
        <w:pStyle w:val="12"/>
        <w:keepNext w:val="0"/>
        <w:keepLines w:val="0"/>
        <w:pageBreakBefore w:val="0"/>
        <w:widowControl w:val="0"/>
        <w:kinsoku/>
        <w:wordWrap/>
        <w:overflowPunct w:val="0"/>
        <w:topLinePunct w:val="0"/>
        <w:autoSpaceDE/>
        <w:autoSpaceDN w:val="0"/>
        <w:bidi w:val="0"/>
        <w:adjustRightInd/>
        <w:snapToGrid/>
        <w:spacing w:after="0" w:line="578" w:lineRule="exact"/>
        <w:ind w:firstLine="640"/>
        <w:textAlignment w:val="auto"/>
        <w:rPr>
          <w:rFonts w:hint="eastAsia" w:ascii="新宋体" w:hAnsi="新宋体" w:eastAsia="方正仿宋简体" w:cs="方正仿宋简体"/>
          <w:b w:val="0"/>
          <w:bCs/>
          <w:spacing w:val="11"/>
          <w:sz w:val="32"/>
          <w:szCs w:val="32"/>
        </w:rPr>
      </w:pPr>
      <w:r>
        <w:rPr>
          <w:rFonts w:hint="eastAsia" w:ascii="新宋体" w:hAnsi="新宋体" w:eastAsia="方正仿宋简体" w:cs="方正仿宋简体"/>
          <w:b w:val="0"/>
          <w:bCs/>
          <w:spacing w:val="11"/>
          <w:sz w:val="32"/>
          <w:szCs w:val="32"/>
        </w:rPr>
        <w:t>违反本条例规定，构成违反治安管理行为的，由公安机关依法给予治安管理处罚；构成犯罪的，依法追究刑事责任。</w:t>
      </w: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both"/>
        <w:textAlignment w:val="auto"/>
        <w:rPr>
          <w:rFonts w:hint="eastAsia" w:ascii="新宋体" w:hAnsi="新宋体" w:eastAsia="方正仿宋简体" w:cs="方正仿宋简体"/>
          <w:b w:val="0"/>
          <w:bCs/>
          <w:spacing w:val="11"/>
          <w:sz w:val="32"/>
          <w:szCs w:val="32"/>
          <w:lang w:eastAsia="zh-CN"/>
        </w:rPr>
      </w:pPr>
    </w:p>
    <w:p>
      <w:pPr>
        <w:pStyle w:val="5"/>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578" w:lineRule="exact"/>
        <w:jc w:val="center"/>
        <w:textAlignment w:val="auto"/>
        <w:rPr>
          <w:rFonts w:hint="eastAsia" w:ascii="黑体" w:hAnsi="黑体" w:eastAsia="黑体" w:cs="黑体"/>
          <w:b w:val="0"/>
          <w:bCs/>
          <w:spacing w:val="11"/>
          <w:sz w:val="32"/>
          <w:szCs w:val="32"/>
        </w:rPr>
      </w:pPr>
      <w:r>
        <w:rPr>
          <w:rFonts w:hint="eastAsia" w:ascii="黑体" w:hAnsi="黑体" w:eastAsia="黑体" w:cs="黑体"/>
          <w:b w:val="0"/>
          <w:bCs/>
          <w:spacing w:val="11"/>
          <w:sz w:val="32"/>
          <w:szCs w:val="32"/>
          <w:lang w:eastAsia="zh-CN"/>
        </w:rPr>
        <w:t>第七章</w:t>
      </w:r>
      <w:r>
        <w:rPr>
          <w:rFonts w:hint="eastAsia" w:ascii="黑体" w:hAnsi="黑体" w:eastAsia="黑体" w:cs="黑体"/>
          <w:b w:val="0"/>
          <w:bCs/>
          <w:spacing w:val="11"/>
          <w:sz w:val="32"/>
          <w:szCs w:val="32"/>
          <w:lang w:val="en-US" w:eastAsia="zh-CN"/>
        </w:rPr>
        <w:t xml:space="preserve">  </w:t>
      </w:r>
      <w:r>
        <w:rPr>
          <w:rFonts w:hint="eastAsia" w:ascii="黑体" w:hAnsi="黑体" w:eastAsia="黑体" w:cs="黑体"/>
          <w:b w:val="0"/>
          <w:bCs/>
          <w:spacing w:val="11"/>
          <w:sz w:val="32"/>
          <w:szCs w:val="32"/>
        </w:rPr>
        <w:t>附  则</w:t>
      </w:r>
    </w:p>
    <w:p>
      <w:pPr>
        <w:pStyle w:val="12"/>
        <w:keepNext w:val="0"/>
        <w:keepLines w:val="0"/>
        <w:pageBreakBefore w:val="0"/>
        <w:widowControl w:val="0"/>
        <w:kinsoku/>
        <w:wordWrap/>
        <w:overflowPunct w:val="0"/>
        <w:topLinePunct w:val="0"/>
        <w:autoSpaceDE/>
        <w:autoSpaceDN w:val="0"/>
        <w:bidi w:val="0"/>
        <w:adjustRightInd/>
        <w:snapToGrid/>
        <w:spacing w:after="0" w:line="578" w:lineRule="exact"/>
        <w:textAlignment w:val="auto"/>
        <w:rPr>
          <w:rFonts w:hint="eastAsia" w:ascii="新宋体" w:hAnsi="新宋体" w:eastAsia="方正仿宋简体" w:cs="方正仿宋简体"/>
          <w:b w:val="0"/>
          <w:bCs/>
          <w:spacing w:val="11"/>
        </w:rPr>
      </w:pPr>
      <w:r>
        <w:rPr>
          <w:rFonts w:hint="eastAsia" w:ascii="新宋体" w:hAnsi="新宋体" w:eastAsia="方正仿宋简体" w:cs="方正仿宋简体"/>
          <w:b w:val="0"/>
          <w:bCs/>
          <w:spacing w:val="11"/>
        </w:rPr>
        <w:t xml:space="preserve"> </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第四十二条  </w:t>
      </w:r>
      <w:r>
        <w:rPr>
          <w:rFonts w:hint="eastAsia" w:ascii="新宋体" w:hAnsi="新宋体" w:eastAsia="方正仿宋简体" w:cs="方正仿宋简体"/>
          <w:b w:val="0"/>
          <w:bCs/>
          <w:spacing w:val="11"/>
        </w:rPr>
        <w:t>【功能区执行】漯河经济技术开发区、漯河市城乡一体化示范区、漯河西城区现代服务业开发区管委会根据市人民政府授权，依照本条例负责管理区域内的城市公共汽电车客运管理工作。</w:t>
      </w:r>
    </w:p>
    <w:p>
      <w:pPr>
        <w:pStyle w:val="6"/>
        <w:keepNext w:val="0"/>
        <w:keepLines w:val="0"/>
        <w:pageBreakBefore w:val="0"/>
        <w:widowControl w:val="0"/>
        <w:numPr>
          <w:ilvl w:val="0"/>
          <w:numId w:val="0"/>
        </w:numPr>
        <w:tabs>
          <w:tab w:val="left" w:pos="0"/>
        </w:tabs>
        <w:kinsoku/>
        <w:wordWrap/>
        <w:overflowPunct w:val="0"/>
        <w:topLinePunct w:val="0"/>
        <w:autoSpaceDE/>
        <w:autoSpaceDN/>
        <w:bidi w:val="0"/>
        <w:adjustRightInd/>
        <w:snapToGrid/>
        <w:spacing w:before="0" w:beforeLines="0" w:after="0" w:afterLines="0" w:line="578" w:lineRule="exact"/>
        <w:ind w:firstLine="684" w:firstLineChars="200"/>
        <w:textAlignment w:val="auto"/>
        <w:rPr>
          <w:rFonts w:hint="eastAsia" w:ascii="新宋体" w:hAnsi="新宋体" w:eastAsia="方正仿宋简体" w:cs="方正仿宋简体"/>
          <w:b w:val="0"/>
          <w:bCs/>
          <w:spacing w:val="11"/>
        </w:rPr>
      </w:pPr>
      <w:r>
        <w:rPr>
          <w:rFonts w:hint="eastAsia" w:ascii="黑体" w:hAnsi="黑体" w:eastAsia="黑体" w:cs="黑体"/>
          <w:b w:val="0"/>
          <w:bCs/>
          <w:spacing w:val="11"/>
          <w:lang w:val="en-US" w:eastAsia="zh-CN"/>
        </w:rPr>
        <w:t xml:space="preserve">第四十三条  </w:t>
      </w:r>
      <w:r>
        <w:rPr>
          <w:rFonts w:hint="eastAsia" w:ascii="新宋体" w:hAnsi="新宋体" w:eastAsia="方正仿宋简体" w:cs="方正仿宋简体"/>
          <w:b w:val="0"/>
          <w:bCs/>
          <w:spacing w:val="11"/>
        </w:rPr>
        <w:t>【施行日期】本条例自2025年 月 日起施行。</w:t>
      </w:r>
    </w:p>
    <w:p>
      <w:pPr>
        <w:keepNext w:val="0"/>
        <w:keepLines w:val="0"/>
        <w:pageBreakBefore w:val="0"/>
        <w:widowControl w:val="0"/>
        <w:kinsoku/>
        <w:wordWrap/>
        <w:overflowPunct/>
        <w:topLinePunct w:val="0"/>
        <w:autoSpaceDE/>
        <w:bidi w:val="0"/>
        <w:adjustRightInd/>
        <w:snapToGrid/>
        <w:textAlignment w:val="auto"/>
        <w:rPr>
          <w:spacing w:val="11"/>
        </w:rPr>
      </w:pPr>
    </w:p>
    <w:sectPr>
      <w:footerReference r:id="rId3" w:type="default"/>
      <w:pgSz w:w="11906" w:h="16838"/>
      <w:pgMar w:top="2211" w:right="1531" w:bottom="1871" w:left="1531" w:header="851" w:footer="1474" w:gutter="0"/>
      <w:cols w:space="0" w:num="1"/>
      <w:rtlGutter w:val="0"/>
      <w:docGrid w:type="lines" w:linePitch="41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新宋体" w:hAnsi="新宋体" w:eastAsia="新宋体" w:cs="新宋体"/>
                              <w:sz w:val="28"/>
                              <w:szCs w:val="28"/>
                              <w:lang w:eastAsia="zh-CN"/>
                            </w:rPr>
                          </w:pPr>
                          <w:r>
                            <w:rPr>
                              <w:rFonts w:hint="eastAsia" w:ascii="新宋体" w:hAnsi="新宋体" w:eastAsia="新宋体" w:cs="新宋体"/>
                              <w:sz w:val="28"/>
                              <w:szCs w:val="28"/>
                              <w:lang w:eastAsia="zh-CN"/>
                            </w:rPr>
                            <w:t>—</w:t>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fldChar w:fldCharType="begin"/>
                          </w:r>
                          <w:r>
                            <w:rPr>
                              <w:rFonts w:hint="eastAsia" w:ascii="新宋体" w:hAnsi="新宋体" w:eastAsia="新宋体" w:cs="新宋体"/>
                              <w:sz w:val="28"/>
                              <w:szCs w:val="28"/>
                              <w:lang w:eastAsia="zh-CN"/>
                            </w:rPr>
                            <w:instrText xml:space="preserve"> PAGE  \* MERGEFORMAT </w:instrText>
                          </w:r>
                          <w:r>
                            <w:rPr>
                              <w:rFonts w:hint="eastAsia" w:ascii="新宋体" w:hAnsi="新宋体" w:eastAsia="新宋体" w:cs="新宋体"/>
                              <w:sz w:val="28"/>
                              <w:szCs w:val="28"/>
                              <w:lang w:eastAsia="zh-CN"/>
                            </w:rPr>
                            <w:fldChar w:fldCharType="separate"/>
                          </w:r>
                          <w:r>
                            <w:rPr>
                              <w:rFonts w:hint="eastAsia" w:ascii="新宋体" w:hAnsi="新宋体" w:eastAsia="新宋体" w:cs="新宋体"/>
                              <w:sz w:val="28"/>
                              <w:szCs w:val="28"/>
                              <w:lang w:eastAsia="zh-CN"/>
                            </w:rPr>
                            <w:t>1</w:t>
                          </w:r>
                          <w:r>
                            <w:rPr>
                              <w:rFonts w:hint="eastAsia" w:ascii="新宋体" w:hAnsi="新宋体" w:eastAsia="新宋体" w:cs="新宋体"/>
                              <w:sz w:val="28"/>
                              <w:szCs w:val="28"/>
                              <w:lang w:eastAsia="zh-CN"/>
                            </w:rPr>
                            <w:fldChar w:fldCharType="end"/>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7"/>
                      <w:rPr>
                        <w:rFonts w:hint="eastAsia" w:ascii="新宋体" w:hAnsi="新宋体" w:eastAsia="新宋体" w:cs="新宋体"/>
                        <w:sz w:val="28"/>
                        <w:szCs w:val="28"/>
                        <w:lang w:eastAsia="zh-CN"/>
                      </w:rPr>
                    </w:pPr>
                    <w:r>
                      <w:rPr>
                        <w:rFonts w:hint="eastAsia" w:ascii="新宋体" w:hAnsi="新宋体" w:eastAsia="新宋体" w:cs="新宋体"/>
                        <w:sz w:val="28"/>
                        <w:szCs w:val="28"/>
                        <w:lang w:eastAsia="zh-CN"/>
                      </w:rPr>
                      <w:t>—</w:t>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fldChar w:fldCharType="begin"/>
                    </w:r>
                    <w:r>
                      <w:rPr>
                        <w:rFonts w:hint="eastAsia" w:ascii="新宋体" w:hAnsi="新宋体" w:eastAsia="新宋体" w:cs="新宋体"/>
                        <w:sz w:val="28"/>
                        <w:szCs w:val="28"/>
                        <w:lang w:eastAsia="zh-CN"/>
                      </w:rPr>
                      <w:instrText xml:space="preserve"> PAGE  \* MERGEFORMAT </w:instrText>
                    </w:r>
                    <w:r>
                      <w:rPr>
                        <w:rFonts w:hint="eastAsia" w:ascii="新宋体" w:hAnsi="新宋体" w:eastAsia="新宋体" w:cs="新宋体"/>
                        <w:sz w:val="28"/>
                        <w:szCs w:val="28"/>
                        <w:lang w:eastAsia="zh-CN"/>
                      </w:rPr>
                      <w:fldChar w:fldCharType="separate"/>
                    </w:r>
                    <w:r>
                      <w:rPr>
                        <w:rFonts w:hint="eastAsia" w:ascii="新宋体" w:hAnsi="新宋体" w:eastAsia="新宋体" w:cs="新宋体"/>
                        <w:sz w:val="28"/>
                        <w:szCs w:val="28"/>
                        <w:lang w:eastAsia="zh-CN"/>
                      </w:rPr>
                      <w:t>1</w:t>
                    </w:r>
                    <w:r>
                      <w:rPr>
                        <w:rFonts w:hint="eastAsia" w:ascii="新宋体" w:hAnsi="新宋体" w:eastAsia="新宋体" w:cs="新宋体"/>
                        <w:sz w:val="28"/>
                        <w:szCs w:val="28"/>
                        <w:lang w:eastAsia="zh-CN"/>
                      </w:rPr>
                      <w:fldChar w:fldCharType="end"/>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2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9F63ED"/>
    <w:rsid w:val="04075BBA"/>
    <w:rsid w:val="122238CF"/>
    <w:rsid w:val="17FD7361"/>
    <w:rsid w:val="1D724056"/>
    <w:rsid w:val="287E25AB"/>
    <w:rsid w:val="35D96B8F"/>
    <w:rsid w:val="38DA5B63"/>
    <w:rsid w:val="3F5E6F5C"/>
    <w:rsid w:val="41030F0B"/>
    <w:rsid w:val="4DEB78D6"/>
    <w:rsid w:val="51535D9E"/>
    <w:rsid w:val="609F63ED"/>
    <w:rsid w:val="66CE05E2"/>
    <w:rsid w:val="68FC02E7"/>
    <w:rsid w:val="6EA46C5B"/>
    <w:rsid w:val="730343D8"/>
    <w:rsid w:val="73BC67A9"/>
    <w:rsid w:val="7C942FCD"/>
    <w:rsid w:val="7F7584D6"/>
    <w:rsid w:val="7F7FAD64"/>
    <w:rsid w:val="E2FEEE47"/>
    <w:rsid w:val="ECFEC877"/>
    <w:rsid w:val="EEFFBB2B"/>
    <w:rsid w:val="FDBEB7C0"/>
    <w:rsid w:val="FDF7ED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0"/>
      <w:szCs w:val="24"/>
      <w:lang w:val="en-US" w:eastAsia="zh-CN" w:bidi="ar-SA"/>
    </w:rPr>
  </w:style>
  <w:style w:type="paragraph" w:styleId="5">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6">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0">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next w:val="1"/>
    <w:qFormat/>
    <w:uiPriority w:val="0"/>
    <w:pPr>
      <w:ind w:firstLine="420" w:firstLineChars="100"/>
    </w:pPr>
  </w:style>
  <w:style w:type="paragraph" w:styleId="3">
    <w:name w:val="Body Text"/>
    <w:basedOn w:val="1"/>
    <w:next w:val="4"/>
    <w:qFormat/>
    <w:uiPriority w:val="0"/>
    <w:pPr>
      <w:spacing w:after="120"/>
    </w:pPr>
  </w:style>
  <w:style w:type="paragraph" w:styleId="4">
    <w:name w:val="Body Text 2"/>
    <w:basedOn w:val="1"/>
    <w:qFormat/>
    <w:uiPriority w:val="0"/>
    <w:pPr>
      <w:spacing w:after="120" w:line="480" w:lineRule="auto"/>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1">
    <w:name w:val="p0"/>
    <w:basedOn w:val="1"/>
    <w:qFormat/>
    <w:uiPriority w:val="0"/>
    <w:pPr>
      <w:widowControl/>
    </w:pPr>
    <w:rPr>
      <w:rFonts w:ascii="Calibri" w:hAnsi="Calibri" w:eastAsia="宋体" w:cs="宋体"/>
      <w:kern w:val="0"/>
      <w:sz w:val="21"/>
      <w:szCs w:val="21"/>
    </w:rPr>
  </w:style>
  <w:style w:type="paragraph" w:customStyle="1" w:styleId="12">
    <w:name w:val="p17"/>
    <w:basedOn w:val="1"/>
    <w:qFormat/>
    <w:uiPriority w:val="0"/>
    <w:pPr>
      <w:widowControl/>
      <w:spacing w:after="120"/>
      <w:ind w:firstLine="210"/>
    </w:pPr>
    <w:rPr>
      <w:rFonts w:ascii="Calibri" w:hAnsi="Calibri" w:eastAsia="宋体" w:cs="宋体"/>
      <w:kern w:val="0"/>
      <w:sz w:val="21"/>
      <w:szCs w:val="21"/>
    </w:rPr>
  </w:style>
  <w:style w:type="paragraph" w:customStyle="1" w:styleId="13">
    <w:name w:val="p19"/>
    <w:basedOn w:val="1"/>
    <w:qFormat/>
    <w:uiPriority w:val="0"/>
    <w:pPr>
      <w:widowControl/>
      <w:spacing w:after="120"/>
      <w:ind w:left="420" w:firstLine="420"/>
    </w:pPr>
    <w:rPr>
      <w:rFonts w:ascii="Calibri" w:hAnsi="Calibri" w:eastAsia="宋体" w:cs="宋体"/>
      <w:kern w:val="0"/>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5459</Words>
  <Characters>5464</Characters>
  <Lines>0</Lines>
  <Paragraphs>0</Paragraphs>
  <TotalTime>3</TotalTime>
  <ScaleCrop>false</ScaleCrop>
  <LinksUpToDate>false</LinksUpToDate>
  <CharactersWithSpaces>5502</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2024-12-10T18:46:00Z</dcterms:created>
  <dc:creator>wps</dc:creator>
  <cp:lastModifiedBy>Administrator</cp:lastModifiedBy>
  <cp:lastPrinted>2024-12-13T17:06:00Z</cp:lastPrinted>
  <dcterms:modified xsi:type="dcterms:W3CDTF">2024-12-16T03:24:42Z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735CA08CDBBE423C8C8745ADA459B3AD_11</vt:lpwstr>
  </property>
</Properties>
</file>