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jc w:val="both"/>
        <w:rPr>
          <w:rFonts w:hint="eastAsia" w:ascii="黑体" w:hAnsi="黑体" w:eastAsia="黑体"/>
          <w:color w:val="000000"/>
          <w:sz w:val="52"/>
          <w:szCs w:val="52"/>
        </w:rPr>
      </w:pP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  <w:r>
        <w:rPr>
          <w:rFonts w:hint="eastAsia" w:ascii="黑体" w:hAnsi="黑体" w:eastAsia="黑体"/>
          <w:color w:val="000000"/>
          <w:sz w:val="52"/>
          <w:szCs w:val="52"/>
        </w:rPr>
        <w:t>鹤壁市人民代表大会常务委员会</w:t>
      </w:r>
    </w:p>
    <w:p>
      <w:pPr>
        <w:jc w:val="center"/>
        <w:rPr>
          <w:rFonts w:hint="eastAsia" w:ascii="黑体" w:hAnsi="黑体" w:eastAsia="黑体"/>
          <w:color w:val="000000"/>
          <w:sz w:val="52"/>
          <w:szCs w:val="52"/>
        </w:rPr>
      </w:pPr>
      <w:r>
        <w:rPr>
          <w:rFonts w:hint="eastAsia" w:ascii="黑体" w:hAnsi="黑体" w:eastAsia="黑体"/>
          <w:color w:val="000000"/>
          <w:sz w:val="52"/>
          <w:szCs w:val="52"/>
        </w:rPr>
        <w:t>办公室202</w:t>
      </w:r>
      <w:r>
        <w:rPr>
          <w:rFonts w:hint="eastAsia" w:ascii="黑体" w:hAnsi="黑体" w:eastAsia="黑体"/>
          <w:color w:val="000000"/>
          <w:sz w:val="52"/>
          <w:szCs w:val="52"/>
          <w:lang w:val="en-US" w:eastAsia="zh-CN"/>
        </w:rPr>
        <w:t>2年</w:t>
      </w:r>
      <w:r>
        <w:rPr>
          <w:rFonts w:hint="eastAsia" w:ascii="黑体" w:hAnsi="黑体" w:eastAsia="黑体"/>
          <w:color w:val="000000"/>
          <w:sz w:val="52"/>
          <w:szCs w:val="52"/>
        </w:rPr>
        <w:t>部门预算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sectPr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1984" w:right="1531" w:bottom="1984" w:left="1531" w:header="1071" w:footer="3" w:gutter="0"/>
          <w:pgNumType w:fmt="numberInDash" w:start="1"/>
          <w:cols w:space="425" w:num="1"/>
          <w:rtlGutter w:val="0"/>
          <w:docGrid w:linePitch="360" w:charSpace="0"/>
        </w:sect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0"/>
          <w:w w:val="100"/>
          <w:position w:val="0"/>
          <w:sz w:val="44"/>
          <w:szCs w:val="44"/>
          <w:lang w:val="zh-CN" w:eastAsia="zh-CN" w:bidi="zh-CN"/>
        </w:rPr>
        <w:t>2022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鹤壁市人民代表大会常务委员会办公室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部门预算说明</w:t>
      </w:r>
      <w:bookmarkStart w:id="0" w:name="bookmark0"/>
      <w:bookmarkStart w:id="1" w:name="bookmark2"/>
      <w:bookmarkStart w:id="2" w:name="bookmark1"/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rightChars="0" w:firstLine="0"/>
        <w:jc w:val="center"/>
        <w:textAlignment w:val="auto"/>
        <w:outlineLvl w:val="9"/>
        <w:rPr>
          <w:rFonts w:hint="eastAsia" w:ascii="黑体" w:hAnsi="黑体" w:eastAsia="黑体" w:cs="黑体"/>
          <w:sz w:val="56"/>
          <w:szCs w:val="56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目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56"/>
          <w:szCs w:val="56"/>
        </w:rPr>
        <w:t>录</w:t>
      </w:r>
      <w:bookmarkEnd w:id="0"/>
      <w:bookmarkEnd w:id="1"/>
      <w:bookmarkEnd w:id="2"/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62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概况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bookmark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、主要职责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4" w:name="bookmark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、部门所属预算单位构成情况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62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第二部分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 xml:space="preserve">2022年部门预算情况说明 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62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第三部分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名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词解释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620" w:right="0" w:rightChars="0" w:firstLine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/>
        </w:rPr>
        <w:t>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2022年部门预算表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5" w:name="bookmark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一</w:t>
      </w:r>
      <w:bookmarkEnd w:id="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6" w:name="bookmark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二</w:t>
      </w:r>
      <w:bookmarkEnd w:id="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、部门收入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7" w:name="bookmark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三</w:t>
      </w:r>
      <w:bookmarkEnd w:id="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、部门支出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8" w:name="bookmark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四</w:t>
      </w:r>
      <w:bookmarkEnd w:id="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、财政拨款收支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9" w:name="bookmark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五</w:t>
      </w:r>
      <w:bookmarkEnd w:id="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、一般公共预算支出表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bookmark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六</w:t>
      </w:r>
      <w:bookmarkEnd w:id="1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、一般公共预算基本支出表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1" w:name="bookmark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七</w:t>
      </w:r>
      <w:bookmarkEnd w:id="1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、支出经济分类汇总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2" w:name="bookmark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八</w:t>
      </w:r>
      <w:bookmarkEnd w:id="1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、一般公共预算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公”经费支出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3" w:name="bookmark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九</w:t>
      </w:r>
      <w:bookmarkEnd w:id="1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、政府性基金预算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支出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十、项目支出预算表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十一、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国有资本经营预算支出表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级部门整体绩效目标表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级部门预算项目绩效目标表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24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第一部分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58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概况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wordWrap/>
        <w:topLinePunct w:val="0"/>
        <w:bidi w:val="0"/>
        <w:spacing w:before="0" w:after="0" w:line="580" w:lineRule="exact"/>
        <w:ind w:left="620"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主要职责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ascii="楷体_GB2312" w:hAnsi="宋体" w:eastAsia="楷体_GB2312" w:cs="Courier New"/>
          <w:kern w:val="0"/>
          <w:sz w:val="32"/>
          <w:szCs w:val="32"/>
          <w:highlight w:val="none"/>
        </w:rPr>
      </w:pPr>
      <w:r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</w:rPr>
        <w:t>（一）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负责市人民代表大会、市人大常委会会议和活动的组织及服务工作；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宋体" w:eastAsia="楷体_GB2312" w:cs="Courier New"/>
          <w:kern w:val="0"/>
          <w:sz w:val="32"/>
          <w:szCs w:val="32"/>
          <w:highlight w:val="none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负责市人民代表大会、市人大常委会会议的决议、决定和审议意见的具体组织实施及检查督办工作；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（三）负责地方立法工作；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（四）研究人民代表大会制度的理论、政策，提出履行职能的工作建议；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（五）负责重要文稿的起草工作，协调和组织市人民代表大会、市人大常委会的宣传工作；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（六）负责联系市人大代表，组织市人大代表开展活动、视察；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（七）处理市人大代表提出的议案、建议、批评和意见及人民群众的来信来访；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（八）围绕人大制度建设和民主法治建设进行调查研究、理论研究，发现问题、提出解决问题的办法，为市人民代表大会、市人大常委会决定问题提供信息和参考；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（九）承办上级人大和市人民代表大会、市人大常委会交办的其他任务；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spacing w:after="0" w:line="580" w:lineRule="exact"/>
        <w:ind w:firstLine="640" w:firstLineChars="200"/>
        <w:textAlignment w:val="auto"/>
        <w:rPr>
          <w:color w:val="000000"/>
          <w:spacing w:val="0"/>
          <w:w w:val="100"/>
          <w:position w:val="0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（十）完成市委交办的其他任务。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预算单位构成情况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鹤壁市人民代表大会常务委员会办公室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预算包括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机关本级预算和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属单位预算。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机关本级预算包括：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正县级综合办事机构2个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，分别为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办公室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调研室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正县级工作委员会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，分别为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法工委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财工委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选工委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农工委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教工委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城工委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民侨工委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经济功能区工委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、监司委、社建委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的预算。</w:t>
      </w:r>
      <w:bookmarkStart w:id="14" w:name="bookmark24"/>
      <w:bookmarkEnd w:id="14"/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属单位预算包括：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930"/>
        </w:tabs>
        <w:wordWrap/>
        <w:topLinePunct w:val="0"/>
        <w:bidi w:val="0"/>
        <w:spacing w:before="0" w:after="0" w:line="580" w:lineRule="exact"/>
        <w:ind w:left="640" w:leftChars="0" w:right="0" w:rightChars="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bookmarkStart w:id="15" w:name="bookmark23"/>
      <w:bookmarkEnd w:id="15"/>
      <w:r>
        <w:rPr>
          <w:rFonts w:hint="default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人大法律和代表联络服务中心。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第二部分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鹤壁市人民代表大会常务委员会办公室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2022年部门预算情况说明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16" w:name="bookmark2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一</w:t>
      </w:r>
      <w:bookmarkEnd w:id="1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、收入支出预算总体情况说明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       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2022年收入总计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1389.1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万元，支出总计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1389.1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万元，与2021年预算相比，收、支总计各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194.7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增长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16.30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 xml:space="preserve"> 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主要原因：一是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受疫情影响，市人代会采取整体闭环管理的模式召开，费用大幅度上涨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；二是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2022年为县乡人大代表换届年，增加了了县乡人大代表换届经费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；三是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人员工资的上涨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17" w:name="bookmark2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二</w:t>
      </w:r>
      <w:bookmarkEnd w:id="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、收入预算总体情况说明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2022年收入合计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万元，其中：一般公共预算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1389.1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18" w:name="bookmark2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三</w:t>
      </w:r>
      <w:bookmarkEnd w:id="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、支出预算总体情况说明</w:t>
      </w:r>
    </w:p>
    <w:p>
      <w:pPr>
        <w:pStyle w:val="18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黑体" w:hAnsi="黑体" w:eastAsia="仿宋_GB2312" w:cs="黑体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2022年支出合计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1389.1万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元，其中：基本支出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1082.6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77.93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%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项目支出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306.5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22.07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%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19" w:name="bookmark2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四</w:t>
      </w:r>
      <w:bookmarkEnd w:id="1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、财政拨款收支预算总体情况说明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spacing w:after="0" w:line="580" w:lineRule="exact"/>
        <w:textAlignment w:val="auto"/>
        <w:rPr>
          <w:sz w:val="32"/>
          <w:szCs w:val="32"/>
          <w:highlight w:val="none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     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2022年一般公共预算收支预算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1389.1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万元。与2021年相比，一般公共预算收支预算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增加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308.7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增长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28.58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%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。主要原因：</w:t>
      </w:r>
      <w:r>
        <w:rPr>
          <w:rFonts w:hint="eastAsia" w:ascii="仿宋_GB2312" w:hAnsi="宋体" w:eastAsia="仿宋_GB2312" w:cs="Courier New"/>
          <w:sz w:val="32"/>
          <w:szCs w:val="32"/>
        </w:rPr>
        <w:t>一是2021年</w:t>
      </w:r>
      <w:r>
        <w:rPr>
          <w:rFonts w:hint="eastAsia" w:ascii="仿宋_GB2312" w:hAnsi="宋体" w:eastAsia="仿宋_GB2312" w:cs="Courier New"/>
          <w:sz w:val="32"/>
          <w:szCs w:val="32"/>
          <w:lang w:eastAsia="zh-CN"/>
        </w:rPr>
        <w:t>有</w:t>
      </w:r>
      <w:r>
        <w:rPr>
          <w:rFonts w:hint="eastAsia" w:ascii="仿宋_GB2312" w:hAnsi="宋体" w:eastAsia="仿宋_GB2312" w:cs="Courier New"/>
          <w:sz w:val="32"/>
          <w:szCs w:val="32"/>
          <w:lang w:val="en-US" w:eastAsia="zh-CN"/>
        </w:rPr>
        <w:t>114万元</w:t>
      </w:r>
      <w:r>
        <w:rPr>
          <w:rFonts w:hint="eastAsia" w:ascii="仿宋_GB2312" w:hAnsi="宋体" w:eastAsia="仿宋_GB2312" w:cs="Courier New"/>
          <w:sz w:val="32"/>
          <w:szCs w:val="32"/>
        </w:rPr>
        <w:t>项目资金为收回存量资金安排；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是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受疫情影响，市人代会采取整体闭环管理的模式召开，费用大幅度上涨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；二是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2022年为县乡人大代表换届年，增加了了县乡人大代表换届经费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；三是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人员工资的上涨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20" w:name="bookmark2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五</w:t>
      </w:r>
      <w:bookmarkEnd w:id="2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、一般公共预算支出预算情况说明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2022年一般公共预算支出年初预算为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1389.1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万元。其中： 基本支出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1082.6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77.94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项目支出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306.5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22.06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en-US" w:bidi="en-US"/>
        </w:rPr>
        <w:t>%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vertAlign w:val="subscript"/>
          <w:lang w:val="en-US" w:eastAsia="en-US" w:bidi="en-US"/>
        </w:rPr>
        <w:t>o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57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right="0" w:rightChars="0" w:firstLine="94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21" w:name="bookmark3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六</w:t>
      </w:r>
      <w:bookmarkEnd w:id="2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、一般公共预算基本支出预算情况说明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2022年一般公共预算基本支出年初预算为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1082.6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万元。其中：人员经费支出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980.6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90.58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公用经费支出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102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万元，占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9.42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</w:pPr>
      <w:bookmarkStart w:id="22" w:name="bookmark3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七</w:t>
      </w:r>
      <w:bookmarkEnd w:id="22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一般公共预算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“三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公”经费支出预算情况说明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spacing w:after="0" w:line="580" w:lineRule="exact"/>
        <w:textAlignment w:val="auto"/>
        <w:rPr>
          <w:highlight w:val="none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     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三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公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经费支出预算为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31.8</w:t>
      </w:r>
      <w:r>
        <w:rPr>
          <w:rFonts w:hint="default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，与2021年保持一致。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具体支出情况如下：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16"/>
        </w:tabs>
        <w:wordWrap/>
        <w:topLinePunct w:val="0"/>
        <w:bidi w:val="0"/>
        <w:spacing w:before="0" w:after="0" w:line="580" w:lineRule="exact"/>
        <w:ind w:left="0" w:leftChars="0" w:right="0" w:rightChars="0" w:firstLine="78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23" w:name="bookmark32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2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一）因公出国（境）费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万元，主要用于单位工作 人员公务出国（境）的住宿费、旅费、伙食补助费、杂费、 培训费等支出。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预算数与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2021年保持一致。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580" w:lineRule="exact"/>
        <w:ind w:left="0" w:leftChars="0" w:right="0" w:rightChars="0" w:firstLine="78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24" w:name="bookmark33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24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二）公务接待费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20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万元，主要用于按规定开支的各类公务接待（含外宾接待）支出。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预算数与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2021年保持一致。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25" w:name="bookmark34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25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三）公务用车购置及运行费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11.8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其中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公务用车购置费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0万元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，公务用车运行维护费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11.8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万元，主要用于开展工作 所需公务用车的燃料费、维修费、过路过桥费、保险费、安 全奖励费用等支出。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预算数与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2021年保持一致。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70"/>
        </w:tabs>
        <w:wordWrap/>
        <w:topLinePunct w:val="0"/>
        <w:bidi w:val="0"/>
        <w:spacing w:before="0" w:after="0" w:line="58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bookmarkStart w:id="26" w:name="bookmark3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八</w:t>
      </w:r>
      <w:bookmarkEnd w:id="2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政府性基金支出预算情况说明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after="0" w:line="58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我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年无使用政府性基金预算拨款安排的支出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wordWrap/>
        <w:topLinePunct w:val="0"/>
        <w:bidi w:val="0"/>
        <w:spacing w:after="0" w:line="580" w:lineRule="exact"/>
        <w:ind w:firstLine="640" w:firstLineChars="200"/>
        <w:textAlignment w:val="auto"/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  <w:highlight w:val="none"/>
        </w:rPr>
        <w:t>国有资本经营预算支出预算情况说明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我单位20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无</w:t>
      </w:r>
      <w:bookmarkStart w:id="40" w:name="_GoBack"/>
      <w:bookmarkEnd w:id="4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使用国有资本经营预算拨款安排的支出。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其他重要事项情况说明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28"/>
        </w:tabs>
        <w:wordWrap/>
        <w:topLinePunct w:val="0"/>
        <w:bidi w:val="0"/>
        <w:spacing w:before="0" w:after="0" w:line="580" w:lineRule="exact"/>
        <w:ind w:left="0" w:leftChars="0" w:right="0" w:rightChars="0" w:firstLine="78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bookmarkStart w:id="27" w:name="bookmark37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27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一）行政（事业）单位机构运转经费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鹤壁市人民代表大会常务委员会办公室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2022年机构运转经费支出预算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102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 主要保障机构正常运转及正常履职需要所需支出，包含公用经费、公务交通补贴、工会经费、职工福利费等。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34"/>
        </w:tabs>
        <w:wordWrap/>
        <w:topLinePunct w:val="0"/>
        <w:bidi w:val="0"/>
        <w:spacing w:before="0" w:after="0" w:line="580" w:lineRule="exact"/>
        <w:ind w:left="0" w:leftChars="0" w:right="0" w:rightChars="0" w:firstLine="78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bookmarkStart w:id="28" w:name="bookmark38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28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二）政府采购支出预算情况</w:t>
      </w:r>
    </w:p>
    <w:p>
      <w:pPr>
        <w:pStyle w:val="2"/>
        <w:keepNext w:val="0"/>
        <w:keepLines w:val="0"/>
        <w:pageBreakBefore w:val="0"/>
        <w:widowControl w:val="0"/>
        <w:wordWrap/>
        <w:topLinePunct w:val="0"/>
        <w:bidi w:val="0"/>
        <w:spacing w:after="0"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2022年政府釆购预算安排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万元，其中：政府采购货物预算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 w:bidi="en-US"/>
        </w:rPr>
        <w:t xml:space="preserve">    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政府采购工程预算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万元、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政府采购服务预算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万元。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34"/>
        </w:tabs>
        <w:wordWrap/>
        <w:topLinePunct w:val="0"/>
        <w:bidi w:val="0"/>
        <w:spacing w:before="0" w:after="0" w:line="580" w:lineRule="exact"/>
        <w:ind w:left="0" w:leftChars="0" w:right="0" w:rightChars="0" w:firstLine="78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</w:pPr>
      <w:bookmarkStart w:id="29" w:name="bookmark39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29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highlight w:val="none"/>
        </w:rPr>
        <w:t>三）绩效目标设置情况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leftChars="0" w:right="0" w:rightChars="0" w:firstLine="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我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2022年预算项目均按要求编制了绩效目标，从项 目产出、项目效益、满意度等方面设置了绩效指标，综合反 映项目预期完成的数量、实效、质量，预期达到的社会经济 效益、可持续影响以及服务对象满意度等情况。</w:t>
      </w:r>
    </w:p>
    <w:p>
      <w:pPr>
        <w:pStyle w:val="2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</w:rPr>
      </w:pPr>
      <w:bookmarkStart w:id="30" w:name="bookmark40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30"/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highlight w:val="none"/>
        </w:rPr>
        <w:t>四）国有资产占用情况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2021年期末，我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局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共有车辆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辆，其中：一般公务用车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辆、一般执法执勤用车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辆、其他用车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辆，其他用车主要是机要通信用车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辆、应急车辆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辆、老干部用车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辆；单价 50万元以上通用设备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套，单位价值100万元以上专用设备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</w:rPr>
        <w:t>套。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614"/>
        </w:tabs>
        <w:wordWrap/>
        <w:topLinePunct w:val="0"/>
        <w:bidi w:val="0"/>
        <w:spacing w:before="0" w:after="0" w:line="580" w:lineRule="exact"/>
        <w:ind w:left="0" w:leftChars="0" w:right="0" w:rightChars="0" w:firstLine="76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highlight w:val="none"/>
        </w:rPr>
      </w:pPr>
      <w:bookmarkStart w:id="31" w:name="bookmark41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（</w:t>
      </w:r>
      <w:bookmarkEnd w:id="31"/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highlight w:val="none"/>
        </w:rPr>
        <w:t>五）专项转移支付项目情况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0" w:after="0"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zh-TW" w:eastAsia="zh-TW" w:bidi="zh-TW"/>
        </w:rPr>
        <w:t>我单位202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en-US" w:eastAsia="zh-CN" w:bidi="zh-TW"/>
        </w:rPr>
        <w:t>2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zh-TW" w:eastAsia="zh-TW" w:bidi="zh-TW"/>
        </w:rPr>
        <w:t>年</w:t>
      </w:r>
      <w:r>
        <w:rPr>
          <w:rFonts w:hint="eastAsia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无负责管理的专项转移支付项目</w:t>
      </w:r>
      <w:r>
        <w:rPr>
          <w:rFonts w:hint="eastAsia" w:eastAsia="仿宋_GB2312" w:cs="Times New Roman"/>
          <w:color w:val="000000"/>
          <w:spacing w:val="0"/>
          <w:w w:val="100"/>
          <w:position w:val="0"/>
          <w:sz w:val="32"/>
          <w:szCs w:val="32"/>
          <w:highlight w:val="none"/>
          <w:u w:val="none"/>
          <w:shd w:val="clear" w:color="auto" w:fill="auto"/>
          <w:lang w:val="zh-TW" w:eastAsia="zh-CN" w:bidi="zh-TW"/>
        </w:rPr>
        <w:t>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第三部分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wordWrap/>
        <w:topLinePunct w:val="0"/>
        <w:bidi w:val="0"/>
        <w:spacing w:before="0" w:after="0" w:line="580" w:lineRule="exact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highlight w:val="none"/>
        </w:rPr>
        <w:t>名词解释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2" w:name="bookmark4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一</w:t>
      </w:r>
      <w:bookmarkEnd w:id="3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、财政拨款收入：是指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级财政拨付的资金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包括一般公共预算拨款、政府性基金预算拨款、国有资本经营预算拨款。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3" w:name="bookmark4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二</w:t>
      </w:r>
      <w:bookmarkEnd w:id="3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、事业收入：是指事业单位开展专业活动及辅助活动 所取得的收入。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4" w:name="bookmark4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三</w:t>
      </w:r>
      <w:bookmarkEnd w:id="3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、其他收入：是指部门取得的除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拨款”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、“事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业 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业单位经营收入”等以外的收入。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5" w:name="bookmark4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四</w:t>
      </w:r>
      <w:bookmarkEnd w:id="35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、用事业基金弥补收支差额：是指事业单位在当年的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18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“财政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拨款收入”、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“事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业收入”、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“经营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收入”和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“其他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收入” 不足以安排当年支出的情况下，使用以前年度积累的事业基 金（即事业单位以前各年度收支相抵后，按国家规定提取、 用于弥补以后年度收支差额的基金）弥补当年收支缺口的资金。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6" w:name="bookmark4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五</w:t>
      </w:r>
      <w:bookmarkEnd w:id="36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基本支出：是指为保障机构正常运转、完成日常工作任务所必需的开支，其内容包括人员经费和日常公用经费两部分。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7" w:name="bookmark4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六</w:t>
      </w:r>
      <w:bookmarkEnd w:id="37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、项目支出：是指在基本支出之外，为完成特定的行政工作任务或事业发展目标所发生的支出。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tabs>
          <w:tab w:val="left" w:pos="12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8" w:name="bookmark4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七</w:t>
      </w:r>
      <w:bookmarkEnd w:id="38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val="zh-CN" w:eastAsia="zh-CN" w:bidi="zh-CN"/>
        </w:rPr>
        <w:t>“三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公”经费：是指纳入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级财政预算管理，部门使用财政拨款安排的因公出国（境）费、公务用车购置及运行费和公务接待费。其中，因公出国（境）费反映单位公务 出国（境）的住宿费、旅费、伙食补助费、杂费、培训费等 支出；公务用车购置及运行费反映单位公务用车购置费及租 用费、燃料费、维修费、过路过桥费、保险费、安全奖励费 用等支出；公务接待费反映单位按规定开支的各类公务接待 （含外宾接待）支出。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left="0" w:leftChars="0" w:right="0" w:rightChars="0" w:firstLine="62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bookmarkStart w:id="39" w:name="bookmark4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八</w:t>
      </w:r>
      <w:bookmarkEnd w:id="39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highlight w:val="none"/>
        </w:rPr>
        <w:t>、行政（事业）单位机构运转经费情况：是指为保障单位（包括行政单位和事业单位）运行用于购买货物和服务的各项资金，包括办公及印刷费、邮电费、差旅费、会议费 、福利费、日常维修费及一般设备购置费、办公用房水电费 、办公用房取暖费、办公用房物业管理费、公务用车运行维护费以及其他费用。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附件：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300" w:line="599" w:lineRule="exact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鹤壁市人民代表大会常务委员会办公室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2022年部门预算表</w:t>
      </w:r>
    </w:p>
    <w:p>
      <w:pPr>
        <w:pStyle w:val="14"/>
        <w:keepNext w:val="0"/>
        <w:keepLines w:val="0"/>
        <w:widowControl w:val="0"/>
        <w:shd w:val="clear" w:color="auto" w:fill="auto"/>
        <w:bidi w:val="0"/>
        <w:spacing w:before="0" w:after="300" w:line="599" w:lineRule="exact"/>
        <w:ind w:left="0" w:right="0" w:firstLine="0"/>
        <w:jc w:val="center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</w:p>
    <w:sectPr>
      <w:footerReference r:id="rId5" w:type="default"/>
      <w:footerReference r:id="rId6" w:type="even"/>
      <w:footnotePr>
        <w:numFmt w:val="decimal"/>
      </w:footnotePr>
      <w:pgSz w:w="11900" w:h="16840"/>
      <w:pgMar w:top="1984" w:right="1531" w:bottom="1984" w:left="1531" w:header="1071" w:footer="3" w:gutter="0"/>
      <w:pgNumType w:fmt="numberInDash" w:start="1"/>
      <w:cols w:space="425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5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6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0DEF"/>
    <w:multiLevelType w:val="singleLevel"/>
    <w:tmpl w:val="620A0DEF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useFELayout/>
    <w:compatSetting w:name="compatibilityMode" w:uri="http://schemas.microsoft.com/office/word" w:val="15"/>
  </w:compat>
  <w:rsids>
    <w:rsidRoot w:val="00000000"/>
    <w:rsid w:val="00A6334D"/>
    <w:rsid w:val="00BA5278"/>
    <w:rsid w:val="023F6CE4"/>
    <w:rsid w:val="02475C75"/>
    <w:rsid w:val="03463632"/>
    <w:rsid w:val="03DC2FBD"/>
    <w:rsid w:val="05057AE0"/>
    <w:rsid w:val="057F65E2"/>
    <w:rsid w:val="088B2E6A"/>
    <w:rsid w:val="0DF51922"/>
    <w:rsid w:val="0FDC4ECB"/>
    <w:rsid w:val="117A5E53"/>
    <w:rsid w:val="12863BC5"/>
    <w:rsid w:val="13E37FC3"/>
    <w:rsid w:val="1670399F"/>
    <w:rsid w:val="17197C27"/>
    <w:rsid w:val="18653EE8"/>
    <w:rsid w:val="19BB4353"/>
    <w:rsid w:val="1A7E76C9"/>
    <w:rsid w:val="1C3874BD"/>
    <w:rsid w:val="1C42508B"/>
    <w:rsid w:val="1F8C4DD2"/>
    <w:rsid w:val="21A505E1"/>
    <w:rsid w:val="21B864DF"/>
    <w:rsid w:val="22142731"/>
    <w:rsid w:val="25D33CA8"/>
    <w:rsid w:val="26517797"/>
    <w:rsid w:val="267011C7"/>
    <w:rsid w:val="28B57938"/>
    <w:rsid w:val="297632CC"/>
    <w:rsid w:val="2C573500"/>
    <w:rsid w:val="2C8C436D"/>
    <w:rsid w:val="2DDD1D25"/>
    <w:rsid w:val="2EAA627A"/>
    <w:rsid w:val="300C6618"/>
    <w:rsid w:val="30E9755A"/>
    <w:rsid w:val="30F07D17"/>
    <w:rsid w:val="31AE525A"/>
    <w:rsid w:val="326D1EA2"/>
    <w:rsid w:val="331F654B"/>
    <w:rsid w:val="33BA5CBB"/>
    <w:rsid w:val="342C1E96"/>
    <w:rsid w:val="34F66B76"/>
    <w:rsid w:val="36722D4B"/>
    <w:rsid w:val="36F73183"/>
    <w:rsid w:val="388B19C1"/>
    <w:rsid w:val="38F07540"/>
    <w:rsid w:val="39424F50"/>
    <w:rsid w:val="39544891"/>
    <w:rsid w:val="3B1862F4"/>
    <w:rsid w:val="3C6C3554"/>
    <w:rsid w:val="3FFD4204"/>
    <w:rsid w:val="40C505EE"/>
    <w:rsid w:val="41F57045"/>
    <w:rsid w:val="42215038"/>
    <w:rsid w:val="45933607"/>
    <w:rsid w:val="49372C1D"/>
    <w:rsid w:val="49383A4B"/>
    <w:rsid w:val="49FC17CC"/>
    <w:rsid w:val="4AF629A7"/>
    <w:rsid w:val="4CA63BA9"/>
    <w:rsid w:val="4D044D3F"/>
    <w:rsid w:val="4ED729AB"/>
    <w:rsid w:val="4FDA1689"/>
    <w:rsid w:val="50332C49"/>
    <w:rsid w:val="50664C1B"/>
    <w:rsid w:val="507972BC"/>
    <w:rsid w:val="50A66636"/>
    <w:rsid w:val="517A1D6F"/>
    <w:rsid w:val="571123FE"/>
    <w:rsid w:val="57B06A40"/>
    <w:rsid w:val="57BA5AC5"/>
    <w:rsid w:val="594B16E9"/>
    <w:rsid w:val="59C705E9"/>
    <w:rsid w:val="59D16705"/>
    <w:rsid w:val="5BC26A66"/>
    <w:rsid w:val="5C7F7B8A"/>
    <w:rsid w:val="5FA97FE7"/>
    <w:rsid w:val="63315960"/>
    <w:rsid w:val="640943C9"/>
    <w:rsid w:val="64D52066"/>
    <w:rsid w:val="67037FBD"/>
    <w:rsid w:val="69B34901"/>
    <w:rsid w:val="6B9B61BF"/>
    <w:rsid w:val="6BDF4D08"/>
    <w:rsid w:val="6D53622B"/>
    <w:rsid w:val="6EF76811"/>
    <w:rsid w:val="6F815D52"/>
    <w:rsid w:val="7066753F"/>
    <w:rsid w:val="716606F1"/>
    <w:rsid w:val="719F6A7D"/>
    <w:rsid w:val="735C4C00"/>
    <w:rsid w:val="76416F8C"/>
    <w:rsid w:val="773A08A7"/>
    <w:rsid w:val="774E0958"/>
    <w:rsid w:val="7BB32699"/>
    <w:rsid w:val="7CA85DF2"/>
    <w:rsid w:val="7DB47796"/>
    <w:rsid w:val="7F792E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Body text|3_"/>
    <w:basedOn w:val="5"/>
    <w:link w:val="8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8">
    <w:name w:val="Body text|3"/>
    <w:basedOn w:val="1"/>
    <w:link w:val="7"/>
    <w:qFormat/>
    <w:uiPriority w:val="0"/>
    <w:pPr>
      <w:widowControl w:val="0"/>
      <w:shd w:val="clear" w:color="auto" w:fill="auto"/>
      <w:spacing w:before="220" w:after="120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9">
    <w:name w:val="Header or footer|2_"/>
    <w:basedOn w:val="5"/>
    <w:link w:val="10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0">
    <w:name w:val="Header or footer|2"/>
    <w:basedOn w:val="1"/>
    <w:link w:val="9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1">
    <w:name w:val="Heading #1|1_"/>
    <w:basedOn w:val="5"/>
    <w:link w:val="12"/>
    <w:qFormat/>
    <w:uiPriority w:val="0"/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widowControl w:val="0"/>
      <w:shd w:val="clear" w:color="auto" w:fill="auto"/>
      <w:jc w:val="center"/>
      <w:outlineLvl w:val="0"/>
    </w:pPr>
    <w:rPr>
      <w:rFonts w:ascii="宋体" w:hAnsi="宋体" w:eastAsia="宋体" w:cs="宋体"/>
      <w:sz w:val="54"/>
      <w:szCs w:val="54"/>
      <w:u w:val="none"/>
      <w:shd w:val="clear" w:color="auto" w:fill="auto"/>
      <w:lang w:val="zh-TW" w:eastAsia="zh-TW" w:bidi="zh-TW"/>
    </w:rPr>
  </w:style>
  <w:style w:type="character" w:customStyle="1" w:styleId="13">
    <w:name w:val="Body text|1_"/>
    <w:basedOn w:val="5"/>
    <w:link w:val="1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Header or footer|1_"/>
    <w:basedOn w:val="5"/>
    <w:link w:val="16"/>
    <w:qFormat/>
    <w:uiPriority w:val="0"/>
    <w:rPr>
      <w:b/>
      <w:bCs/>
      <w:sz w:val="17"/>
      <w:szCs w:val="17"/>
      <w:u w:val="none"/>
      <w:shd w:val="clear" w:color="auto" w:fill="auto"/>
    </w:rPr>
  </w:style>
  <w:style w:type="paragraph" w:customStyle="1" w:styleId="16">
    <w:name w:val="Header or footer|1"/>
    <w:basedOn w:val="1"/>
    <w:link w:val="15"/>
    <w:qFormat/>
    <w:uiPriority w:val="0"/>
    <w:pPr>
      <w:widowControl w:val="0"/>
      <w:shd w:val="clear" w:color="auto" w:fill="auto"/>
    </w:pPr>
    <w:rPr>
      <w:b/>
      <w:bCs/>
      <w:sz w:val="17"/>
      <w:szCs w:val="17"/>
      <w:u w:val="none"/>
      <w:shd w:val="clear" w:color="auto" w:fill="auto"/>
    </w:rPr>
  </w:style>
  <w:style w:type="character" w:customStyle="1" w:styleId="17">
    <w:name w:val="Body text|2_"/>
    <w:basedOn w:val="5"/>
    <w:link w:val="18"/>
    <w:qFormat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widowControl w:val="0"/>
      <w:shd w:val="clear" w:color="auto" w:fill="auto"/>
      <w:spacing w:line="600" w:lineRule="exact"/>
      <w:ind w:firstLine="33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Body text|4_"/>
    <w:basedOn w:val="5"/>
    <w:link w:val="20"/>
    <w:qFormat/>
    <w:uiPriority w:val="0"/>
    <w:rPr>
      <w:b/>
      <w:bCs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20">
    <w:name w:val="Body text|4"/>
    <w:basedOn w:val="1"/>
    <w:link w:val="19"/>
    <w:qFormat/>
    <w:uiPriority w:val="0"/>
    <w:pPr>
      <w:widowControl w:val="0"/>
      <w:shd w:val="clear" w:color="auto" w:fill="auto"/>
      <w:spacing w:after="120"/>
      <w:jc w:val="center"/>
    </w:pPr>
    <w:rPr>
      <w:b/>
      <w:bCs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2022-02-14T00:26:00Z</dcterms:created>
  <dc:creator>Administrator</dc:creator>
  <cp:lastModifiedBy>Administrator</cp:lastModifiedBy>
  <dcterms:modified xsi:type="dcterms:W3CDTF">2022-03-09T01:22:32Z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ICV">
    <vt:lpwstr>8A87BCBFD8C64E75BDBD77D587FD60C5</vt:lpwstr>
  </property>
</Properties>
</file>