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color w:val="auto"/>
          <w:kern w:val="0"/>
          <w:sz w:val="28"/>
          <w:szCs w:val="28"/>
          <w:lang w:val="en-US" w:eastAsia="zh-CN"/>
        </w:rPr>
      </w:pPr>
      <w:bookmarkStart w:id="0" w:name="_GoBack"/>
      <w:bookmarkEnd w:id="0"/>
      <w:r>
        <w:rPr>
          <w:rFonts w:hint="eastAsia" w:ascii="黑体" w:hAnsi="宋体" w:eastAsia="黑体" w:cs="宋体"/>
          <w:color w:val="auto"/>
          <w:kern w:val="0"/>
          <w:sz w:val="28"/>
          <w:szCs w:val="28"/>
          <w:lang w:val="en-US" w:eastAsia="zh-CN"/>
        </w:rPr>
        <w:t xml:space="preserve">             </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default" w:ascii="黑体" w:hAnsi="宋体" w:eastAsia="黑体" w:cs="宋体"/>
          <w:color w:val="auto"/>
          <w:kern w:val="0"/>
          <w:sz w:val="28"/>
          <w:szCs w:val="28"/>
          <w:lang w:val="en-US" w:eastAsia="zh-CN"/>
        </w:rPr>
      </w:pPr>
      <w:r>
        <w:rPr>
          <w:rFonts w:hint="eastAsia" w:ascii="黑体" w:hAnsi="宋体" w:eastAsia="黑体" w:cs="宋体"/>
          <w:color w:val="auto"/>
          <w:kern w:val="0"/>
          <w:sz w:val="28"/>
          <w:szCs w:val="28"/>
          <w:lang w:val="en-US" w:eastAsia="zh-CN"/>
        </w:rPr>
        <w:t xml:space="preserve">   </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2019年度</w:t>
      </w: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许昌市人民代表大会常务委员会</w:t>
      </w:r>
    </w:p>
    <w:p>
      <w:pPr>
        <w:jc w:val="center"/>
        <w:rPr>
          <w:rFonts w:hint="eastAsia" w:ascii="黑体" w:hAnsi="黑体" w:eastAsia="黑体" w:cs="黑体"/>
          <w:color w:val="auto"/>
          <w:sz w:val="52"/>
          <w:szCs w:val="52"/>
        </w:rPr>
      </w:pPr>
      <w:r>
        <w:rPr>
          <w:rFonts w:hint="eastAsia" w:ascii="黑体" w:hAnsi="黑体" w:eastAsia="黑体" w:cs="黑体"/>
          <w:color w:val="auto"/>
          <w:sz w:val="52"/>
          <w:szCs w:val="52"/>
        </w:rPr>
        <w:t>部门决算</w:t>
      </w: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52"/>
          <w:szCs w:val="52"/>
        </w:rPr>
      </w:pPr>
    </w:p>
    <w:p>
      <w:pPr>
        <w:jc w:val="center"/>
        <w:rPr>
          <w:rFonts w:hint="eastAsia"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二〇二〇年九月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许昌市人民代表大会常务委员会概况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部门职责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2019年度部门决算表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三、支出决算表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四、财政拨款收入支出决算总表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五、一般公共预算财政拨款支出决算表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六、一般公共预算财政拨款基本支出决算表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七、一般公共预算财政拨款“三公”经费支出决算表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八、政府性基金预算财政拨款收入支出决算表</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第三部分　　2019年度部门决算情况说明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八、预算绩效情况说明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九、政府性基金预算财政拨款支出决算情况说明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十、机关运行经费支出情况说明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十一、政府采购支出情况说明</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十二、国有资产占用情况说明</w:t>
      </w:r>
    </w:p>
    <w:p>
      <w:pPr>
        <w:jc w:val="left"/>
        <w:rPr>
          <w:rFonts w:hint="eastAsia" w:ascii="黑体" w:hAnsi="黑体" w:eastAsia="黑体" w:cs="黑体"/>
          <w:color w:val="auto"/>
          <w:sz w:val="32"/>
          <w:szCs w:val="32"/>
        </w:rPr>
      </w:pPr>
      <w:r>
        <w:rPr>
          <w:rFonts w:hint="eastAsia" w:ascii="黑体" w:hAnsi="黑体" w:eastAsia="黑体" w:cs="黑体"/>
          <w:color w:val="auto"/>
          <w:sz w:val="32"/>
          <w:szCs w:val="32"/>
        </w:rPr>
        <w:t>第四部分　　名词解释</w:t>
      </w:r>
    </w:p>
    <w:p>
      <w:pPr>
        <w:ind w:firstLine="640" w:firstLineChars="200"/>
        <w:jc w:val="left"/>
        <w:rPr>
          <w:rFonts w:ascii="宋体" w:hAnsi="宋体" w:cs="宋体"/>
          <w:color w:val="auto"/>
          <w:sz w:val="32"/>
          <w:szCs w:val="32"/>
        </w:rPr>
      </w:pPr>
    </w:p>
    <w:p>
      <w:pPr>
        <w:jc w:val="left"/>
        <w:rPr>
          <w:rFonts w:hint="eastAsia" w:ascii="黑体" w:hAnsi="黑体" w:eastAsia="黑体" w:cs="黑体"/>
          <w:color w:val="auto"/>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第一部分  许昌市人民代表大会</w:t>
      </w:r>
    </w:p>
    <w:p>
      <w:pPr>
        <w:widowControl/>
        <w:jc w:val="center"/>
        <w:outlineLvl w:val="0"/>
        <w:rPr>
          <w:rFonts w:hint="eastAsia" w:ascii="黑体" w:hAnsi="宋体" w:eastAsia="黑体" w:cs="宋体"/>
          <w:color w:val="auto"/>
          <w:kern w:val="0"/>
          <w:sz w:val="28"/>
          <w:szCs w:val="28"/>
        </w:rPr>
      </w:pPr>
      <w:r>
        <w:rPr>
          <w:rFonts w:hint="eastAsia" w:ascii="黑体" w:hAnsi="黑体" w:eastAsia="黑体" w:cs="黑体"/>
          <w:color w:val="auto"/>
          <w:sz w:val="48"/>
          <w:szCs w:val="48"/>
        </w:rPr>
        <w:t xml:space="preserve">      常务委员会概况</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仿宋_GB2312" w:hAnsi="仿宋" w:eastAsia="仿宋_GB2312" w:cs="仿宋"/>
          <w:color w:val="auto"/>
          <w:sz w:val="32"/>
          <w:szCs w:val="32"/>
        </w:rPr>
      </w:pPr>
      <w:r>
        <w:rPr>
          <w:rFonts w:hint="eastAsia" w:ascii="黑体" w:hAnsi="黑体" w:eastAsia="黑体" w:cs="黑体"/>
          <w:color w:val="auto"/>
          <w:kern w:val="0"/>
          <w:sz w:val="32"/>
          <w:szCs w:val="32"/>
        </w:rPr>
        <w:t>一、部门</w:t>
      </w:r>
      <w:r>
        <w:rPr>
          <w:rFonts w:hint="eastAsia" w:ascii="黑体" w:hAnsi="黑体" w:eastAsia="黑体" w:cs="黑体"/>
          <w:bCs/>
          <w:color w:val="auto"/>
          <w:sz w:val="32"/>
          <w:szCs w:val="32"/>
        </w:rPr>
        <w:t>职责</w:t>
      </w:r>
    </w:p>
    <w:p>
      <w:pPr>
        <w:spacing w:line="336" w:lineRule="auto"/>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（一）保证宪法、法律、法规和决议、决定在本行政区域内的遵守和执行；</w:t>
      </w:r>
    </w:p>
    <w:p>
      <w:pPr>
        <w:spacing w:line="336" w:lineRule="auto"/>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（二）讨论决定本行政区域内的重大事项；</w:t>
      </w:r>
    </w:p>
    <w:p>
      <w:pPr>
        <w:spacing w:line="336" w:lineRule="auto"/>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（三）选举和罢免本级国家机构组成人员；</w:t>
      </w:r>
    </w:p>
    <w:p>
      <w:pPr>
        <w:spacing w:line="336" w:lineRule="auto"/>
        <w:ind w:firstLine="640" w:firstLineChars="200"/>
        <w:rPr>
          <w:rFonts w:hint="eastAsia" w:ascii="仿宋_GB2312" w:hAnsi="宋体" w:eastAsia="仿宋_GB2312" w:cs="宋体"/>
          <w:color w:val="auto"/>
          <w:kern w:val="0"/>
          <w:sz w:val="32"/>
          <w:szCs w:val="32"/>
        </w:rPr>
      </w:pPr>
      <w:r>
        <w:rPr>
          <w:rFonts w:hint="eastAsia" w:ascii="仿宋_GB2312" w:hAnsi="仿宋" w:eastAsia="仿宋_GB2312" w:cs="仿宋"/>
          <w:color w:val="auto"/>
          <w:sz w:val="32"/>
          <w:szCs w:val="32"/>
        </w:rPr>
        <w:t>（四）对“一府两院”实行监督。</w:t>
      </w:r>
    </w:p>
    <w:p>
      <w:pPr>
        <w:widowControl/>
        <w:ind w:firstLine="640" w:firstLineChars="200"/>
        <w:jc w:val="left"/>
        <w:outlineLvl w:val="1"/>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jc w:val="left"/>
        <w:rPr>
          <w:rFonts w:ascii="宋体" w:hAnsi="宋体" w:cs="宋体"/>
          <w:color w:val="auto"/>
          <w:sz w:val="32"/>
          <w:szCs w:val="32"/>
        </w:rPr>
      </w:pPr>
      <w:r>
        <w:rPr>
          <w:rFonts w:hint="eastAsia" w:ascii="仿宋_GB2312" w:hAnsi="仿宋_GB2312" w:eastAsia="仿宋_GB2312" w:cs="仿宋_GB2312"/>
          <w:color w:val="auto"/>
          <w:sz w:val="32"/>
          <w:szCs w:val="32"/>
        </w:rPr>
        <w:t xml:space="preserve">    许昌市人民代表大会常务委员会内设</w:t>
      </w:r>
      <w:r>
        <w:rPr>
          <w:rFonts w:hint="eastAsia" w:ascii="仿宋_GB2312" w:hAnsi="仿宋" w:eastAsia="仿宋_GB2312"/>
          <w:color w:val="auto"/>
          <w:sz w:val="32"/>
          <w:szCs w:val="32"/>
        </w:rPr>
        <w:t>9个工作机构，分别是：法制委员会、财政经济工作委员会、内务司法工作委员会、农村工作委员会、教育科学文化卫生工作委员会、城乡建设环境保护工作委员会、选举任免代表联络工作委员会、预算工作委员会、法制工作委员会；3个办事机构，分别是：办公室、调查研究室、信访办公室。</w:t>
      </w:r>
    </w:p>
    <w:p>
      <w:pPr>
        <w:widowControl/>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从决算单位构成看，许昌市人民代表大会常务委员会部门决算包括：本级决算。</w:t>
      </w:r>
      <w:r>
        <w:rPr>
          <w:rFonts w:hint="eastAsia" w:ascii="仿宋_GB2312" w:hAnsi="仿宋_GB2312" w:eastAsia="仿宋_GB2312" w:cs="仿宋_GB2312"/>
          <w:color w:val="auto"/>
          <w:kern w:val="0"/>
          <w:sz w:val="32"/>
          <w:szCs w:val="32"/>
          <w:lang w:val="en-US" w:eastAsia="zh-CN"/>
        </w:rPr>
        <w:t xml:space="preserve"> </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lang w:val="en-US" w:eastAsia="zh-CN"/>
        </w:rPr>
        <w:t>2019年度，许昌市人民代表大会常务委员会</w:t>
      </w:r>
      <w:r>
        <w:rPr>
          <w:rFonts w:hint="eastAsia" w:ascii="仿宋_GB2312" w:hAnsi="仿宋_GB2312" w:eastAsia="仿宋_GB2312" w:cs="仿宋_GB2312"/>
          <w:color w:val="auto"/>
          <w:kern w:val="0"/>
          <w:sz w:val="32"/>
          <w:szCs w:val="32"/>
          <w:highlight w:val="none"/>
          <w:lang w:val="en-US" w:eastAsia="zh-CN"/>
        </w:rPr>
        <w:t>纳入本部门2019年度部门决算编制范围的单位共1个，具体是：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1.许昌市人民代表大会常务委员会</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第二部分  2019年度部门决算表</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部门：许昌市人民代表大会常务委员会</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699"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1,778.84</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29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1,521.03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三、上级补助收入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四、事业收入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五、经营收入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六、附属单位上缴收入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七、其他收入</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364.83</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39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ascii="宋体" w:hAnsi="宋体" w:cs="宋体"/>
                <w:color w:val="auto"/>
                <w:kern w:val="0"/>
                <w:sz w:val="20"/>
                <w:szCs w:val="20"/>
                <w:lang w:bidi="ar"/>
              </w:rPr>
              <w:t>40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41</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十四、资源勘探信息等支出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42</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43</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44</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45</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46</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47</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62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48</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二十一、灾害防治及应急管理支出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49</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二十二、其他支出</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50</w:t>
            </w:r>
          </w:p>
        </w:tc>
        <w:tc>
          <w:tcPr>
            <w:tcW w:w="169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nil"/>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51</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ascii="宋体" w:hAnsi="宋体" w:cs="宋体"/>
                <w:b/>
                <w:color w:val="auto"/>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1,778.84</w:t>
            </w:r>
          </w:p>
        </w:tc>
        <w:tc>
          <w:tcPr>
            <w:tcW w:w="4671" w:type="dxa"/>
            <w:tcBorders>
              <w:top w:val="single" w:color="000000" w:sz="4" w:space="0"/>
              <w:left w:val="single" w:color="000000" w:sz="4" w:space="0"/>
              <w:bottom w:val="single" w:color="000000" w:sz="4" w:space="0"/>
              <w:right w:val="nil"/>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ascii="宋体" w:hAnsi="宋体" w:cs="宋体"/>
                <w:b/>
                <w:color w:val="auto"/>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52</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b/>
                <w:color w:val="auto"/>
                <w:sz w:val="20"/>
                <w:szCs w:val="20"/>
              </w:rPr>
            </w:pPr>
            <w:r>
              <w:rPr>
                <w:rFonts w:ascii="宋体" w:hAnsi="宋体"/>
                <w:color w:val="auto"/>
                <w:sz w:val="22"/>
              </w:rPr>
              <w:t>1,951.62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4671" w:type="dxa"/>
            <w:tcBorders>
              <w:top w:val="single" w:color="000000" w:sz="4" w:space="0"/>
              <w:left w:val="single" w:color="000000" w:sz="4" w:space="0"/>
              <w:bottom w:val="single" w:color="000000" w:sz="4" w:space="0"/>
              <w:right w:val="nil"/>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53</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455.02</w:t>
            </w:r>
          </w:p>
        </w:tc>
        <w:tc>
          <w:tcPr>
            <w:tcW w:w="4671" w:type="dxa"/>
            <w:tcBorders>
              <w:top w:val="single" w:color="000000" w:sz="4" w:space="0"/>
              <w:left w:val="single" w:color="000000" w:sz="4" w:space="0"/>
              <w:bottom w:val="single" w:color="000000" w:sz="4" w:space="0"/>
              <w:right w:val="nil"/>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54</w:t>
            </w:r>
          </w:p>
        </w:tc>
        <w:tc>
          <w:tcPr>
            <w:tcW w:w="1699"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282.24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nil"/>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4671" w:type="dxa"/>
            <w:tcBorders>
              <w:top w:val="single" w:color="000000" w:sz="4" w:space="0"/>
              <w:left w:val="single" w:color="000000" w:sz="4" w:space="0"/>
              <w:bottom w:val="single" w:color="000000" w:sz="4" w:space="0"/>
              <w:right w:val="nil"/>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55</w:t>
            </w:r>
          </w:p>
        </w:tc>
        <w:tc>
          <w:tcPr>
            <w:tcW w:w="1699" w:type="dxa"/>
            <w:tcBorders>
              <w:top w:val="single" w:color="000000" w:sz="4" w:space="0"/>
              <w:left w:val="nil"/>
              <w:bottom w:val="nil"/>
              <w:right w:val="single" w:color="000000" w:sz="8"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28</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2,233.86</w:t>
            </w:r>
          </w:p>
        </w:tc>
        <w:tc>
          <w:tcPr>
            <w:tcW w:w="4671" w:type="dxa"/>
            <w:tcBorders>
              <w:top w:val="single" w:color="000000" w:sz="4" w:space="0"/>
              <w:left w:val="single" w:color="000000" w:sz="4" w:space="0"/>
              <w:bottom w:val="single" w:color="000000" w:sz="8" w:space="0"/>
              <w:right w:val="nil"/>
            </w:tcBorders>
            <w:shd w:val="clear" w:color="C0C0C0" w:fill="auto"/>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56</w:t>
            </w:r>
          </w:p>
        </w:tc>
        <w:tc>
          <w:tcPr>
            <w:tcW w:w="1699"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b/>
                <w:color w:val="auto"/>
                <w:sz w:val="20"/>
                <w:szCs w:val="20"/>
              </w:rPr>
            </w:pPr>
            <w:r>
              <w:rPr>
                <w:rFonts w:ascii="宋体" w:hAnsi="宋体"/>
                <w:color w:val="auto"/>
                <w:sz w:val="22"/>
              </w:rPr>
              <w:t>2,233.86</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sz w:val="20"/>
                <w:szCs w:val="20"/>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97"/>
        <w:gridCol w:w="330"/>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2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公开02表</w:t>
            </w:r>
          </w:p>
        </w:tc>
      </w:tr>
      <w:tr>
        <w:tblPrEx>
          <w:tblCellMar>
            <w:top w:w="0" w:type="dxa"/>
            <w:left w:w="0" w:type="dxa"/>
            <w:bottom w:w="0" w:type="dxa"/>
            <w:right w:w="0" w:type="dxa"/>
          </w:tblCellMar>
        </w:tblPrEx>
        <w:trPr>
          <w:trHeight w:val="300" w:hRule="atLeast"/>
        </w:trPr>
        <w:tc>
          <w:tcPr>
            <w:tcW w:w="3910" w:type="dxa"/>
            <w:gridSpan w:val="5"/>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部门：许昌市人民代表大会常务委员会</w:t>
            </w: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170"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功能分类</w:t>
            </w:r>
          </w:p>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086"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2357"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4"/>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合计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1,778.84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1,778.84</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1,381.11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1,381.11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人大事务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1,375.70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1,375.70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行政运行</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1,047.69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1,047.69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2010102</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一般行政管理事务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328.01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328.01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群众团体事务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2012906</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工会事务</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316.58</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316.58</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236.90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236.90</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归口管理的行政单位离退休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153.97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153.97</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2080505</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82.93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82.93</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抚恤</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死亡抚恤</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临时救助</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6.72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6.72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临时救助支出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6.72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6.72</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华文中宋" w:hAnsi="华文中宋" w:eastAsia="华文中宋" w:cs="华文中宋"/>
                <w:color w:val="auto"/>
                <w:sz w:val="20"/>
                <w:szCs w:val="20"/>
              </w:rPr>
            </w:pPr>
            <w:r>
              <w:rPr>
                <w:rFonts w:ascii="宋体" w:hAnsi="宋体"/>
                <w:color w:val="auto"/>
                <w:sz w:val="22"/>
              </w:rPr>
              <w:t>81.15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81.15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81.15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81.15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2101101</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35.35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35.35</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2101102</w:t>
            </w:r>
          </w:p>
        </w:tc>
        <w:tc>
          <w:tcPr>
            <w:tcW w:w="166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事业单位医疗</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3.39</w:t>
            </w: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697"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2101103</w:t>
            </w:r>
          </w:p>
        </w:tc>
        <w:tc>
          <w:tcPr>
            <w:tcW w:w="1660" w:type="dxa"/>
            <w:gridSpan w:val="3"/>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公务员医疗补助</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42.41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42.41</w:t>
            </w: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4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57"/>
        <w:gridCol w:w="363"/>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公开03表</w:t>
            </w:r>
          </w:p>
        </w:tc>
      </w:tr>
      <w:tr>
        <w:tblPrEx>
          <w:tblCellMar>
            <w:top w:w="0" w:type="dxa"/>
            <w:left w:w="0" w:type="dxa"/>
            <w:bottom w:w="0" w:type="dxa"/>
            <w:right w:w="0" w:type="dxa"/>
          </w:tblCellMar>
        </w:tblPrEx>
        <w:trPr>
          <w:trHeight w:val="300" w:hRule="atLeast"/>
        </w:trPr>
        <w:tc>
          <w:tcPr>
            <w:tcW w:w="4333" w:type="dxa"/>
            <w:gridSpan w:val="6"/>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部门：许昌市人民代表大会常务委员会</w:t>
            </w: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功能分类</w:t>
            </w:r>
          </w:p>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83"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255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5"/>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1,951.62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1,763.21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188.41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1,521.03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1,338.74</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人大事务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1,515.62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1,333.33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行政运行</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1,080.30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1,080.30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2010102</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一般行政管理事务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435.32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253.03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2012906</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工会事务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364.83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358.71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285.75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285.75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归口管理的行政单位离退休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206.15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206.15</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2080505</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79.60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79.60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抚恤</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死亡抚恤</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临时救助</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临时救助支出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2101101</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30.11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30.11</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2101102</w:t>
            </w:r>
          </w:p>
        </w:tc>
        <w:tc>
          <w:tcPr>
            <w:tcW w:w="1802" w:type="dxa"/>
            <w:gridSpan w:val="4"/>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事业单位医疗</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75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2101103</w:t>
            </w:r>
          </w:p>
        </w:tc>
        <w:tc>
          <w:tcPr>
            <w:tcW w:w="1802" w:type="dxa"/>
            <w:gridSpan w:val="4"/>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公务员医疗补助</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32.27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32.27</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630" w:hRule="atLeast"/>
        </w:trPr>
        <w:tc>
          <w:tcPr>
            <w:tcW w:w="13988"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304"/>
        <w:gridCol w:w="1039"/>
        <w:gridCol w:w="336"/>
        <w:gridCol w:w="1680"/>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3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部门：许昌市人民代表大会常务委员会</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21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340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134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auto"/>
                <w:sz w:val="20"/>
                <w:szCs w:val="20"/>
              </w:rPr>
            </w:pPr>
          </w:p>
        </w:tc>
        <w:tc>
          <w:tcPr>
            <w:tcW w:w="2016"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167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一般公共预算财政拨款</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679"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1,778.84</w:t>
            </w: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30</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1,521.03</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1,521.03</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31</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32</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33</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34</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35</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36</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37</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364.83</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364.83</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38</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39</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40</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41</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79" w:type="dxa"/>
            <w:gridSpan w:val="3"/>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42</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43</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44</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45</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46</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47</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48</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49</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50</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51</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52</w:t>
            </w:r>
          </w:p>
        </w:tc>
        <w:tc>
          <w:tcPr>
            <w:tcW w:w="1012"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375"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ascii="宋体" w:hAnsi="宋体" w:cs="宋体"/>
                <w:b/>
                <w:color w:val="auto"/>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1,778.84</w:t>
            </w:r>
          </w:p>
        </w:tc>
        <w:tc>
          <w:tcPr>
            <w:tcW w:w="3400" w:type="dxa"/>
            <w:tcBorders>
              <w:top w:val="single" w:color="000000" w:sz="4" w:space="0"/>
              <w:left w:val="single" w:color="000000" w:sz="4" w:space="0"/>
              <w:bottom w:val="single" w:color="000000" w:sz="4" w:space="0"/>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b/>
                <w:color w:val="auto"/>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53</w:t>
            </w:r>
          </w:p>
        </w:tc>
        <w:tc>
          <w:tcPr>
            <w:tcW w:w="1012"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1,951.62</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1,951.62</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455.02</w:t>
            </w:r>
          </w:p>
        </w:tc>
        <w:tc>
          <w:tcPr>
            <w:tcW w:w="3400" w:type="dxa"/>
            <w:tcBorders>
              <w:top w:val="single" w:color="000000" w:sz="4" w:space="0"/>
              <w:left w:val="single" w:color="000000" w:sz="4" w:space="0"/>
              <w:bottom w:val="single" w:color="000000" w:sz="4" w:space="0"/>
              <w:right w:val="nil"/>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54</w:t>
            </w:r>
          </w:p>
        </w:tc>
        <w:tc>
          <w:tcPr>
            <w:tcW w:w="1012"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282.24</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282.24</w:t>
            </w: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b/>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455.02</w:t>
            </w:r>
          </w:p>
        </w:tc>
        <w:tc>
          <w:tcPr>
            <w:tcW w:w="3400" w:type="dxa"/>
            <w:tcBorders>
              <w:top w:val="single" w:color="000000" w:sz="4" w:space="0"/>
              <w:left w:val="single" w:color="000000" w:sz="4" w:space="0"/>
              <w:bottom w:val="single" w:color="000000" w:sz="4" w:space="0"/>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55</w:t>
            </w:r>
          </w:p>
        </w:tc>
        <w:tc>
          <w:tcPr>
            <w:tcW w:w="1012"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textAlignment w:val="center"/>
              <w:rPr>
                <w:rFonts w:hint="eastAsia" w:ascii="宋体" w:hAnsi="宋体" w:cs="宋体"/>
                <w:color w:val="auto"/>
                <w:sz w:val="20"/>
                <w:szCs w:val="20"/>
              </w:rPr>
            </w:pPr>
            <w:r>
              <w:rPr>
                <w:rFonts w:ascii="宋体" w:hAnsi="宋体" w:cs="宋体"/>
                <w:color w:val="auto"/>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3400" w:type="dxa"/>
            <w:tcBorders>
              <w:top w:val="single" w:color="000000" w:sz="4" w:space="0"/>
              <w:left w:val="single" w:color="000000" w:sz="4" w:space="0"/>
              <w:bottom w:val="single" w:color="000000" w:sz="4" w:space="0"/>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56</w:t>
            </w:r>
          </w:p>
        </w:tc>
        <w:tc>
          <w:tcPr>
            <w:tcW w:w="1012" w:type="dxa"/>
            <w:gridSpan w:val="2"/>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80"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28</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3400" w:type="dxa"/>
            <w:tcBorders>
              <w:top w:val="single" w:color="000000" w:sz="4" w:space="0"/>
              <w:left w:val="single" w:color="000000" w:sz="4" w:space="0"/>
              <w:bottom w:val="single" w:color="000000" w:sz="4" w:space="0"/>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57</w:t>
            </w:r>
          </w:p>
        </w:tc>
        <w:tc>
          <w:tcPr>
            <w:tcW w:w="1012"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b/>
                <w:color w:val="auto"/>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29</w:t>
            </w:r>
          </w:p>
        </w:tc>
        <w:tc>
          <w:tcPr>
            <w:tcW w:w="1210"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2,233.86</w:t>
            </w:r>
          </w:p>
        </w:tc>
        <w:tc>
          <w:tcPr>
            <w:tcW w:w="3400" w:type="dxa"/>
            <w:tcBorders>
              <w:top w:val="single" w:color="000000" w:sz="4" w:space="0"/>
              <w:left w:val="single" w:color="000000" w:sz="4" w:space="0"/>
              <w:bottom w:val="nil"/>
              <w:right w:val="nil"/>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b/>
                <w:color w:val="auto"/>
                <w:sz w:val="20"/>
                <w:szCs w:val="20"/>
              </w:rPr>
            </w:pPr>
            <w:r>
              <w:rPr>
                <w:rFonts w:ascii="宋体" w:hAnsi="宋体" w:cs="宋体"/>
                <w:b/>
                <w:color w:val="auto"/>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C0C0C0"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sz w:val="20"/>
                <w:szCs w:val="20"/>
              </w:rPr>
              <w:t>58</w:t>
            </w:r>
          </w:p>
        </w:tc>
        <w:tc>
          <w:tcPr>
            <w:tcW w:w="1012" w:type="dxa"/>
            <w:gridSpan w:val="2"/>
            <w:tcBorders>
              <w:top w:val="single" w:color="000000" w:sz="4" w:space="0"/>
              <w:left w:val="nil"/>
              <w:bottom w:val="nil"/>
              <w:right w:val="nil"/>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2,233.86</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2,233.86</w:t>
            </w:r>
          </w:p>
        </w:tc>
        <w:tc>
          <w:tcPr>
            <w:tcW w:w="1680" w:type="dxa"/>
            <w:tcBorders>
              <w:top w:val="single" w:color="000000" w:sz="4" w:space="0"/>
              <w:left w:val="nil"/>
              <w:bottom w:val="nil"/>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351"/>
        <w:gridCol w:w="337"/>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68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w:t>
            </w:r>
            <w:r>
              <w:rPr>
                <w:rStyle w:val="14"/>
                <w:rFonts w:hint="default"/>
                <w:color w:val="auto"/>
                <w:lang w:bidi="ar"/>
              </w:rPr>
              <w:t>5表</w:t>
            </w:r>
          </w:p>
        </w:tc>
      </w:tr>
      <w:tr>
        <w:tblPrEx>
          <w:tblCellMar>
            <w:top w:w="0" w:type="dxa"/>
            <w:left w:w="0" w:type="dxa"/>
            <w:bottom w:w="0" w:type="dxa"/>
            <w:right w:w="0" w:type="dxa"/>
          </w:tblCellMar>
        </w:tblPrEx>
        <w:trPr>
          <w:trHeight w:val="300" w:hRule="atLeast"/>
        </w:trPr>
        <w:tc>
          <w:tcPr>
            <w:tcW w:w="3639"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cs="宋体"/>
                <w:color w:val="auto"/>
                <w:sz w:val="20"/>
                <w:szCs w:val="20"/>
              </w:rPr>
            </w:pPr>
            <w:r>
              <w:rPr>
                <w:rFonts w:hint="eastAsia" w:ascii="宋体" w:hAnsi="宋体" w:cs="宋体"/>
                <w:color w:val="auto"/>
                <w:kern w:val="0"/>
                <w:sz w:val="20"/>
                <w:szCs w:val="20"/>
                <w:lang w:bidi="ar"/>
              </w:rPr>
              <w:t>部门：许昌市人民代表大会常务委员会</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项 </w:t>
            </w:r>
            <w:r>
              <w:rPr>
                <w:rStyle w:val="21"/>
                <w:rFonts w:hint="default"/>
                <w:color w:val="auto"/>
                <w:sz w:val="20"/>
                <w:szCs w:val="20"/>
                <w:lang w:bidi="ar"/>
              </w:rPr>
              <w:t xml:space="preserve">   </w:t>
            </w:r>
            <w:r>
              <w:rPr>
                <w:rStyle w:val="15"/>
                <w:rFonts w:hint="default"/>
                <w:color w:val="auto"/>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功能分类</w:t>
            </w:r>
          </w:p>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shd w:val="clear" w:color="C0C0C0"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ascii="宋体" w:hAnsi="宋体" w:cs="宋体"/>
                <w:color w:val="auto"/>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1,951.62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1,763.21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b/>
                <w:color w:val="auto"/>
                <w:sz w:val="22"/>
              </w:rPr>
              <w:t>188.41</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1,521.03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1,338.74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人大事务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1,515.62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1,333.33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1,080.30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1,080.30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2010102</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一般行政管理事务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435.32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253.03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182.29</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2012906</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364.83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358.71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285.75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285.75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归口管理的行政单位离退休</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206.15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206.15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2080505</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79.60</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79.60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2080801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死亡抚恤</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临时救助</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2082001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临时救助支出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6.12</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65.76</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2101101</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30.11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30.11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2101102</w:t>
            </w:r>
          </w:p>
        </w:tc>
        <w:tc>
          <w:tcPr>
            <w:tcW w:w="25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3.38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450" w:hRule="atLeast"/>
        </w:trPr>
        <w:tc>
          <w:tcPr>
            <w:tcW w:w="107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2101103</w:t>
            </w:r>
          </w:p>
        </w:tc>
        <w:tc>
          <w:tcPr>
            <w:tcW w:w="2562"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left"/>
              <w:textAlignment w:val="center"/>
              <w:rPr>
                <w:rFonts w:hint="eastAsia" w:ascii="宋体" w:hAnsi="宋体" w:cs="宋体"/>
                <w:color w:val="auto"/>
                <w:sz w:val="20"/>
                <w:szCs w:val="20"/>
              </w:rPr>
            </w:pPr>
            <w:r>
              <w:rPr>
                <w:rFonts w:ascii="宋体" w:hAnsi="宋体"/>
                <w:color w:val="auto"/>
                <w:sz w:val="22"/>
              </w:rPr>
              <w:t xml:space="preserve">  公务员医疗补助</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32.27</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32.27</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公开06表</w:t>
            </w:r>
          </w:p>
        </w:tc>
      </w:tr>
      <w:tr>
        <w:tblPrEx>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val="0"/>
            <w:tcMar>
              <w:top w:w="15" w:type="dxa"/>
              <w:left w:w="15" w:type="dxa"/>
              <w:right w:w="15" w:type="dxa"/>
            </w:tcMar>
            <w:vAlign w:val="center"/>
          </w:tcPr>
          <w:p>
            <w:pPr>
              <w:rPr>
                <w:rFonts w:hint="eastAsia" w:ascii="Arial" w:hAnsi="Arial" w:eastAsia="宋体" w:cs="Arial"/>
                <w:color w:val="auto"/>
                <w:sz w:val="20"/>
                <w:szCs w:val="20"/>
                <w:lang w:eastAsia="zh-CN"/>
              </w:rPr>
            </w:pPr>
            <w:r>
              <w:rPr>
                <w:rFonts w:ascii="Arial" w:hAnsi="Arial" w:cs="Arial"/>
                <w:color w:val="auto"/>
                <w:kern w:val="0"/>
                <w:sz w:val="20"/>
                <w:szCs w:val="20"/>
                <w:lang w:bidi="ar"/>
              </w:rPr>
              <w:t>部门：</w:t>
            </w:r>
            <w:r>
              <w:rPr>
                <w:rFonts w:hint="eastAsia" w:ascii="Arial" w:hAnsi="Arial" w:cs="Arial"/>
                <w:color w:val="auto"/>
                <w:kern w:val="0"/>
                <w:sz w:val="20"/>
                <w:szCs w:val="20"/>
                <w:lang w:eastAsia="zh-CN" w:bidi="ar"/>
              </w:rPr>
              <w:t>许昌市人民代表大会常务委员会</w:t>
            </w: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2066"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938"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870"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auto"/>
                <w:sz w:val="20"/>
                <w:szCs w:val="20"/>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1,118.23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257.45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11.70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256.02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31.85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201.51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45.32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11.70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403.72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0.35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41.92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50.25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52.41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16.27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46.52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60.17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9.29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35.96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375.83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2.22</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25.35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72.96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290.15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1.01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6.25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3.20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5.41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5.85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22.07</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6.46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49.86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ind w:firstLine="418"/>
              <w:rPr>
                <w:rFonts w:hint="eastAsia" w:ascii="宋体" w:hAnsi="宋体" w:cs="宋体"/>
                <w:color w:val="auto"/>
                <w:sz w:val="20"/>
                <w:szCs w:val="20"/>
              </w:rPr>
            </w:pPr>
            <w:r>
              <w:rPr>
                <w:rFonts w:ascii="宋体" w:hAnsi="宋体"/>
                <w:color w:val="auto"/>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18"/>
                <w:szCs w:val="18"/>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18"/>
                <w:szCs w:val="18"/>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r>
              <w:rPr>
                <w:rFonts w:hint="eastAsia"/>
                <w:color w:val="auto"/>
              </w:rPr>
              <w:t>1494.06</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r>
              <w:rPr>
                <w:rFonts w:hint="eastAsia"/>
                <w:color w:val="auto"/>
              </w:rPr>
              <w:t>269.15</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auto"/>
                <w:sz w:val="20"/>
                <w:szCs w:val="20"/>
                <w:lang w:eastAsia="zh-CN"/>
              </w:rPr>
            </w:pPr>
            <w:r>
              <w:rPr>
                <w:rFonts w:hint="eastAsia" w:ascii="宋体" w:hAnsi="宋体" w:cs="宋体"/>
                <w:color w:val="auto"/>
                <w:kern w:val="0"/>
                <w:sz w:val="20"/>
                <w:szCs w:val="20"/>
                <w:lang w:bidi="ar"/>
              </w:rPr>
              <w:t>部门：</w:t>
            </w:r>
            <w:r>
              <w:rPr>
                <w:rFonts w:hint="eastAsia" w:ascii="宋体" w:hAnsi="宋体" w:cs="宋体"/>
                <w:color w:val="auto"/>
                <w:kern w:val="0"/>
                <w:sz w:val="20"/>
                <w:szCs w:val="20"/>
                <w:lang w:eastAsia="zh-CN" w:bidi="ar"/>
              </w:rPr>
              <w:t>许昌市人民代表大会常务委员会</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公务用车</w:t>
            </w:r>
            <w:r>
              <w:rPr>
                <w:rFonts w:hint="eastAsia" w:ascii="宋体" w:hAnsi="宋体" w:cs="宋体"/>
                <w:color w:val="auto"/>
                <w:kern w:val="0"/>
                <w:sz w:val="20"/>
                <w:szCs w:val="20"/>
                <w:lang w:bidi="ar"/>
              </w:rPr>
              <w:br w:type="textWrapping"/>
            </w:r>
            <w:r>
              <w:rPr>
                <w:rFonts w:hint="eastAsia" w:ascii="宋体" w:hAnsi="宋体" w:cs="宋体"/>
                <w:color w:val="auto"/>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62.00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60.00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23.86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22.07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22.07</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autoSpaceDN w:val="0"/>
              <w:jc w:val="right"/>
              <w:textAlignment w:val="center"/>
              <w:rPr>
                <w:rFonts w:hint="eastAsia" w:ascii="宋体" w:hAnsi="宋体" w:cs="宋体"/>
                <w:color w:val="auto"/>
                <w:sz w:val="20"/>
                <w:szCs w:val="20"/>
              </w:rPr>
            </w:pPr>
            <w:r>
              <w:rPr>
                <w:rFonts w:ascii="宋体" w:hAnsi="宋体"/>
                <w:color w:val="auto"/>
                <w:sz w:val="22"/>
              </w:rPr>
              <w:t>1.79</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注：本表反映部门本年度“三公”经费支出预决算情况。其中，</w:t>
            </w:r>
            <w:r>
              <w:rPr>
                <w:rStyle w:val="20"/>
                <w:rFonts w:hint="default"/>
                <w:color w:val="auto"/>
                <w:sz w:val="20"/>
                <w:szCs w:val="20"/>
                <w:lang w:bidi="ar"/>
              </w:rPr>
              <w:t>预算数为“三公”经费年初预算数，决算数是包括当年一般公共预算财政拨款和以前年度结转资金安排的实际支出。</w:t>
            </w:r>
            <w:r>
              <w:rPr>
                <w:rFonts w:hint="eastAsia" w:ascii="宋体" w:hAnsi="宋体" w:cs="宋体"/>
                <w:color w:val="auto"/>
                <w:kern w:val="0"/>
                <w:sz w:val="20"/>
                <w:szCs w:val="20"/>
                <w:lang w:bidi="ar"/>
              </w:rPr>
              <w:t>本表金额转换为万元时，因四舍五入可能存在尾差。</w:t>
            </w:r>
          </w:p>
        </w:tc>
      </w:tr>
    </w:tbl>
    <w:p>
      <w:pPr>
        <w:rPr>
          <w:rFonts w:hint="eastAsia"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r>
              <w:rPr>
                <w:rFonts w:hint="eastAsia" w:ascii="华文中宋" w:hAnsi="华文中宋" w:eastAsia="华文中宋" w:cs="华文中宋"/>
                <w:color w:val="auto"/>
                <w:kern w:val="0"/>
                <w:sz w:val="32"/>
                <w:szCs w:val="32"/>
                <w:lang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公开08表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auto"/>
                <w:sz w:val="20"/>
                <w:szCs w:val="20"/>
                <w:lang w:eastAsia="zh-CN"/>
              </w:rPr>
            </w:pPr>
            <w:r>
              <w:rPr>
                <w:rFonts w:hint="eastAsia" w:ascii="宋体" w:hAnsi="宋体" w:cs="宋体"/>
                <w:color w:val="auto"/>
                <w:kern w:val="0"/>
                <w:sz w:val="20"/>
                <w:szCs w:val="20"/>
                <w:lang w:bidi="ar"/>
              </w:rPr>
              <w:t>部门：</w:t>
            </w:r>
            <w:r>
              <w:rPr>
                <w:rFonts w:hint="eastAsia" w:ascii="宋体" w:hAnsi="宋体" w:cs="宋体"/>
                <w:color w:val="auto"/>
                <w:kern w:val="0"/>
                <w:sz w:val="20"/>
                <w:szCs w:val="20"/>
                <w:lang w:eastAsia="zh-CN" w:bidi="ar"/>
              </w:rPr>
              <w:t>许昌市人民代表大会常务委员</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lang w:bidi="ar"/>
              </w:rPr>
            </w:pPr>
            <w:r>
              <w:rPr>
                <w:rFonts w:hint="eastAsia" w:ascii="宋体" w:hAnsi="宋体" w:cs="宋体"/>
                <w:color w:val="auto"/>
                <w:kern w:val="0"/>
                <w:sz w:val="20"/>
                <w:szCs w:val="20"/>
                <w:lang w:bidi="ar"/>
              </w:rPr>
              <w:t>功能分类</w:t>
            </w:r>
          </w:p>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注：本表反映部门本年度政府性基金预算财政拨款收入、支出及结转和结余情况。</w:t>
            </w:r>
          </w:p>
        </w:tc>
      </w:tr>
    </w:tbl>
    <w:p>
      <w:pPr>
        <w:rPr>
          <w:rFonts w:hint="eastAsia" w:ascii="仿宋_GB2312" w:hAnsi="宋体" w:eastAsia="仿宋_GB2312" w:cs="宋体"/>
          <w:color w:val="auto"/>
          <w:sz w:val="30"/>
          <w:szCs w:val="30"/>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宋体" w:eastAsia="仿宋_GB2312" w:cs="宋体"/>
          <w:color w:val="auto"/>
          <w:sz w:val="30"/>
          <w:szCs w:val="30"/>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第三部分  2019年度部门决算情况说明</w:t>
      </w:r>
    </w:p>
    <w:p>
      <w:pPr>
        <w:widowControl/>
        <w:jc w:val="left"/>
        <w:rPr>
          <w:rFonts w:hint="eastAsia"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2019年度收、支总计均为2233.86万元。与上年度相比，收、支总计各减少241.52万元，下降9.75%。主要原因是社会保障和就业支出减少。</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2019年度收入合计1778.84万元，其中：财政拨款收入1778.84万元，占100%。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2019年度支出合计1951.62万元，其中：基本支出1763.21万元，占90.34%；项目支出188.41万元，占9.66%</w:t>
      </w:r>
      <w:r>
        <w:rPr>
          <w:rFonts w:hint="eastAsia" w:ascii="仿宋_GB2312" w:hAnsi="仿宋_GB2312" w:eastAsia="仿宋_GB2312" w:cs="仿宋_GB2312"/>
          <w:color w:val="auto"/>
          <w:sz w:val="32"/>
          <w:szCs w:val="32"/>
          <w:lang w:eastAsia="zh-CN"/>
        </w:rPr>
        <w:t>。</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2019年度财政拨款收、支总计均为2233.86万元。与上年度相比，财政拨款收、支总计各减少241.52万元，下降9.75%。主要原因是社会保障和就业支出减少。</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2019年度一般公共预算财政拨款支出1951.62万元，占本年支出合计的100%。与上年度相比，一般公共预算财政拨款支出增加2.16万元，增长0.11%。主要原因是项目支出略有增加。</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2019年度一般公共预算财政拨款支出1951.62万元，主要用于以下方面：一般公共服务（类）支出1521.03万元，占77.93%；社会保障和就业支出364.83万元，占18.69%；卫生健康支出65.76万元，占3.36%。</w:t>
      </w:r>
    </w:p>
    <w:p>
      <w:pPr>
        <w:widowControl/>
        <w:spacing w:line="59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2019年度一般公共预算财政拨款支出年初预算为1492.29万元，支出决算为1951.62万元，完成年初预算的130.78%。其中：</w:t>
      </w:r>
    </w:p>
    <w:p>
      <w:pPr>
        <w:widowControl/>
        <w:spacing w:line="59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1.一般公共服务（类）人大事务（款）行政运行（项）。</w:t>
      </w:r>
      <w:r>
        <w:rPr>
          <w:rFonts w:hint="eastAsia" w:ascii="仿宋_GB2312" w:hAnsi="仿宋_GB2312" w:eastAsia="仿宋_GB2312" w:cs="仿宋_GB2312"/>
          <w:color w:val="auto"/>
          <w:sz w:val="32"/>
          <w:szCs w:val="32"/>
        </w:rPr>
        <w:t>年初预算为1038.16万元，支出决算为1080.3万元，完成年初预算的104.05%。决算数与年初预算数存在差异的主要原因是人员增加造成经费增加。</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2.一般公共服务（类）人大事务（款一般行政管理事务（项）。</w:t>
      </w:r>
      <w:r>
        <w:rPr>
          <w:rFonts w:hint="eastAsia" w:ascii="仿宋_GB2312" w:hAnsi="仿宋_GB2312" w:eastAsia="仿宋_GB2312" w:cs="仿宋_GB2312"/>
          <w:color w:val="auto"/>
          <w:sz w:val="32"/>
          <w:szCs w:val="32"/>
        </w:rPr>
        <w:t>年初预算为152.75万元，支出决算为435.32万元，完成年初预算的284.98%。决算数与年初预算数存在差异的主要原因是七届人大四次会会议费未列入预算。</w:t>
      </w:r>
    </w:p>
    <w:p>
      <w:pPr>
        <w:widowControl/>
        <w:spacing w:line="59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3.一般公共服务（类）群众团体事务（款）工</w:t>
      </w:r>
      <w:r>
        <w:rPr>
          <w:rFonts w:hint="eastAsia" w:ascii="仿宋_GB2312" w:hAnsi="仿宋_GB2312" w:eastAsia="仿宋_GB2312" w:cs="仿宋_GB2312"/>
          <w:b/>
          <w:bCs/>
          <w:color w:val="auto"/>
          <w:sz w:val="32"/>
          <w:szCs w:val="32"/>
          <w:lang w:eastAsia="zh-CN"/>
        </w:rPr>
        <w:t>会</w:t>
      </w:r>
      <w:r>
        <w:rPr>
          <w:rFonts w:hint="eastAsia" w:ascii="仿宋_GB2312" w:hAnsi="仿宋_GB2312" w:eastAsia="仿宋_GB2312" w:cs="仿宋_GB2312"/>
          <w:b/>
          <w:bCs/>
          <w:color w:val="auto"/>
          <w:sz w:val="32"/>
          <w:szCs w:val="32"/>
        </w:rPr>
        <w:t>事务（项）。</w:t>
      </w:r>
      <w:r>
        <w:rPr>
          <w:rFonts w:hint="eastAsia" w:ascii="仿宋_GB2312" w:hAnsi="仿宋_GB2312" w:eastAsia="仿宋_GB2312" w:cs="仿宋_GB2312"/>
          <w:color w:val="auto"/>
          <w:sz w:val="32"/>
          <w:szCs w:val="32"/>
        </w:rPr>
        <w:t>年初预算为5.41万元，支出决算为5.41万元，完成年初预算的100%。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4.社会保障和就业支出（类）行政事业单位离退休（款）归口管理的行政事业单位离退休（项）。</w:t>
      </w:r>
      <w:r>
        <w:rPr>
          <w:rFonts w:hint="eastAsia" w:ascii="仿宋_GB2312" w:hAnsi="仿宋_GB2312" w:eastAsia="仿宋_GB2312" w:cs="仿宋_GB2312"/>
          <w:color w:val="auto"/>
          <w:sz w:val="32"/>
          <w:szCs w:val="32"/>
        </w:rPr>
        <w:t>年初预算为149.22万元，支出决算为206.15万元，完成年初预算的138.15%。决算数与年初预算数存在差异的主要原因是离退休人员调资。</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5.社会保障和就业支出（类）行政事业单位离退休（款）机关事业单位基本养老保险缴费支出（项）。</w:t>
      </w:r>
      <w:r>
        <w:rPr>
          <w:rFonts w:hint="eastAsia" w:ascii="仿宋_GB2312" w:hAnsi="仿宋_GB2312" w:eastAsia="仿宋_GB2312" w:cs="仿宋_GB2312"/>
          <w:color w:val="auto"/>
          <w:sz w:val="32"/>
          <w:szCs w:val="32"/>
        </w:rPr>
        <w:t>年初预算为79.6万元，支出决算为79.6万元，完成年初预算的100%。</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6.社会保障和就业支出（类）抚恤（款）死亡抚恤（项）。</w:t>
      </w:r>
      <w:r>
        <w:rPr>
          <w:rFonts w:hint="eastAsia" w:ascii="仿宋_GB2312" w:hAnsi="仿宋_GB2312" w:eastAsia="仿宋_GB2312" w:cs="仿宋_GB2312"/>
          <w:color w:val="auto"/>
          <w:sz w:val="32"/>
          <w:szCs w:val="32"/>
        </w:rPr>
        <w:t>年初预算为0万元，支出决算为72.96万元。决算数与年初预算数存在差异的主要原因是死亡抚恤属追加的临时性支出。</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7.社会保障和就业支出（类）临时救助（款）临时救助支出（项）。</w:t>
      </w:r>
      <w:r>
        <w:rPr>
          <w:rFonts w:hint="eastAsia" w:ascii="仿宋_GB2312" w:hAnsi="仿宋_GB2312" w:eastAsia="仿宋_GB2312" w:cs="仿宋_GB2312"/>
          <w:color w:val="auto"/>
          <w:sz w:val="32"/>
          <w:szCs w:val="32"/>
        </w:rPr>
        <w:t>年初预算为0万元，支出决算为6.12万元。决算数与年初预算数存在差异的主要原因是临时救助属追加的临时性支出。</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8.卫生健康支行（类）行政事业单位医疗（款）行政单位医疗（项）</w:t>
      </w:r>
      <w:r>
        <w:rPr>
          <w:rFonts w:hint="eastAsia" w:ascii="仿宋_GB2312" w:hAnsi="仿宋_GB2312" w:eastAsia="仿宋_GB2312" w:cs="仿宋_GB2312"/>
          <w:color w:val="auto"/>
          <w:sz w:val="32"/>
          <w:szCs w:val="32"/>
        </w:rPr>
        <w:t>年初预算为28.88万元，支出决算为30.11万元，完成年初预算的104.25%。决算数与年初预算数存在差异的主要原因是人员增加造成经费增加。</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9.卫生健康支行（类）行政事业单位医疗（款）事业单位医疗（项）</w:t>
      </w:r>
      <w:r>
        <w:rPr>
          <w:rFonts w:hint="eastAsia" w:ascii="仿宋_GB2312" w:hAnsi="仿宋_GB2312" w:eastAsia="仿宋_GB2312" w:cs="仿宋_GB2312"/>
          <w:color w:val="auto"/>
          <w:sz w:val="32"/>
          <w:szCs w:val="32"/>
        </w:rPr>
        <w:t>年初预算为3.39万元，支出决算为3.38万元，完成年初预算的99.7%。</w:t>
      </w:r>
    </w:p>
    <w:p>
      <w:pPr>
        <w:widowControl/>
        <w:spacing w:line="59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10.卫生健康支行（类）行政事业单位医疗（款）公务员医疗补助（项）</w:t>
      </w:r>
      <w:r>
        <w:rPr>
          <w:rFonts w:hint="eastAsia" w:ascii="仿宋_GB2312" w:hAnsi="仿宋_GB2312" w:eastAsia="仿宋_GB2312" w:cs="仿宋_GB2312"/>
          <w:color w:val="auto"/>
          <w:sz w:val="32"/>
          <w:szCs w:val="32"/>
        </w:rPr>
        <w:t>年初预算为32.27万元，支出决算为32.27万元，完成年初预算的100%。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一般公共预算财政拨款基本支出1763.21万元。其中：人员经费1494.06万元，主要包括：基本工资、津贴补贴、奖金、机关事业单位基本养老保险缴费、职工基本医疗保险缴费、公务员医疗补助缴费、其他社会保障缴费、住房公积金、其他工资福利支出、抚恤金、抚恤金、生活补助、医疗费补助、其他对个人和家庭的补助支出；公用经费269.15.万元，主要包括：办公费、印刷费、咨询费、邮电费、差旅费、维修（护）费、会议费、培训费、公务接待费、劳务费、委托业务费、工会经费、福利费、公务用车运行维护费、其他交通费用、办公设备购置。</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2019年度“三公”经费财政拨款支出预算为62万元，支出决算为23.86万元，完成预算的38.48%。2019年度“三公”经费支出决算数与预算数存在差异的主要原因是公车运行维护费减少。</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三公”经费财政拨款支出决算中，因公出国（境）费支出决算0万元；公务用车购置及运行费支出决算22.07万元，完成预算的36.78%，占92.49%；公务接待费支出决算1.79万元，完成预算的89.5%，占7.5%。具体情况如下：</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预算为0万元，支出决算为0万元。</w:t>
      </w:r>
      <w:r>
        <w:rPr>
          <w:rFonts w:hint="eastAsia" w:ascii="仿宋_GB2312" w:hAnsi="仿宋_GB2312" w:eastAsia="仿宋_GB2312" w:cs="仿宋_GB2312"/>
          <w:color w:val="auto"/>
          <w:sz w:val="32"/>
          <w:szCs w:val="32"/>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预算为60万元，支出决算为22.07万元，完成预算的36.78%。决算数与预算数存在差异的主要原因是公车运行维护费减少。其中：</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为0万元，购置车辆0辆。</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22.07万元。主要用于车辆维修及汽油费。2019年期末，部门开支财政拨款的公务用车保有量为15辆。</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公务接待费</w:t>
      </w:r>
      <w:r>
        <w:rPr>
          <w:rFonts w:hint="eastAsia" w:ascii="仿宋_GB2312" w:hAnsi="仿宋_GB2312" w:eastAsia="仿宋_GB2312" w:cs="仿宋_GB2312"/>
          <w:color w:val="auto"/>
          <w:sz w:val="32"/>
          <w:szCs w:val="32"/>
        </w:rPr>
        <w:t>预算为2万元，支出决算为1.79万元，完成预算的89.5%。决算数与预算数存在差异的主要原因是根据八项规定严格控制公务接待费支出。其中：</w:t>
      </w:r>
    </w:p>
    <w:p>
      <w:pPr>
        <w:widowControl/>
        <w:numPr>
          <w:ilvl w:val="0"/>
          <w:numId w:val="0"/>
        </w:numPr>
        <w:spacing w:line="59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1.79万元。主要用于外省市及省内其他地市人大来许相关接待费用。2019年共接待国内来访团组</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个、来宾</w:t>
      </w:r>
      <w:r>
        <w:rPr>
          <w:rFonts w:hint="eastAsia" w:ascii="仿宋_GB2312" w:hAnsi="仿宋_GB2312" w:eastAsia="仿宋_GB2312" w:cs="仿宋_GB2312"/>
          <w:color w:val="auto"/>
          <w:sz w:val="32"/>
          <w:szCs w:val="32"/>
          <w:lang w:val="en-US" w:eastAsia="zh-CN"/>
        </w:rPr>
        <w:t>165</w:t>
      </w:r>
      <w:r>
        <w:rPr>
          <w:rFonts w:hint="eastAsia" w:ascii="仿宋_GB2312" w:hAnsi="仿宋_GB2312" w:eastAsia="仿宋_GB2312" w:cs="仿宋_GB2312"/>
          <w:color w:val="auto"/>
          <w:sz w:val="32"/>
          <w:szCs w:val="32"/>
        </w:rPr>
        <w:t>人次（不包括陪同人员）。</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八、预算绩效情况说明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autoSpaceDE w:val="0"/>
        <w:autoSpaceDN w:val="0"/>
        <w:ind w:firstLine="640"/>
        <w:rPr>
          <w:rFonts w:hint="eastAsia" w:ascii="仿宋" w:hAnsi="仿宋" w:eastAsia="仿宋"/>
          <w:color w:val="auto"/>
          <w:sz w:val="32"/>
        </w:rPr>
      </w:pPr>
      <w:r>
        <w:rPr>
          <w:rFonts w:hint="eastAsia" w:ascii="仿宋_GB2312" w:hAnsi="宋体" w:eastAsia="仿宋_GB2312" w:cs="Courier New"/>
          <w:color w:val="auto"/>
          <w:sz w:val="32"/>
          <w:szCs w:val="32"/>
        </w:rPr>
        <w:t>根据财政预算管理要求，许昌市</w:t>
      </w:r>
      <w:r>
        <w:rPr>
          <w:rFonts w:hint="eastAsia" w:ascii="仿宋_GB2312" w:hAnsi="宋体" w:eastAsia="仿宋_GB2312" w:cs="Courier New"/>
          <w:color w:val="auto"/>
          <w:sz w:val="32"/>
          <w:szCs w:val="32"/>
          <w:lang w:eastAsia="zh-CN"/>
        </w:rPr>
        <w:t>人民代表大会常务委员会</w:t>
      </w:r>
      <w:r>
        <w:rPr>
          <w:rFonts w:hint="eastAsia" w:ascii="仿宋_GB2312" w:hAnsi="宋体" w:eastAsia="仿宋_GB2312" w:cs="Courier New"/>
          <w:color w:val="auto"/>
          <w:sz w:val="32"/>
          <w:szCs w:val="32"/>
        </w:rPr>
        <w:t>对2019年度一般公共预算项目支出全面开展绩效自评。其中，一级项目3个，共涉及预算资金72.5万元，自评覆盖率达到38.47%。</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（二）项目绩效自评结果。</w:t>
      </w:r>
    </w:p>
    <w:p>
      <w:pPr>
        <w:ind w:firstLine="640" w:firstLineChars="200"/>
        <w:jc w:val="left"/>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许昌市</w:t>
      </w:r>
      <w:r>
        <w:rPr>
          <w:rFonts w:hint="eastAsia" w:ascii="仿宋_GB2312" w:hAnsi="仿宋_GB2312" w:eastAsia="仿宋_GB2312" w:cs="仿宋_GB2312"/>
          <w:color w:val="auto"/>
          <w:sz w:val="32"/>
          <w:szCs w:val="32"/>
          <w:lang w:eastAsia="zh-CN"/>
        </w:rPr>
        <w:t>人民代表大会常务委员会</w:t>
      </w:r>
      <w:r>
        <w:rPr>
          <w:rFonts w:hint="eastAsia" w:ascii="仿宋_GB2312" w:hAnsi="仿宋_GB2312" w:eastAsia="仿宋_GB2312" w:cs="仿宋_GB2312"/>
          <w:color w:val="auto"/>
          <w:sz w:val="32"/>
          <w:szCs w:val="32"/>
        </w:rPr>
        <w:t>在2019年度部门决算中增加“工作委员会经费”项目绩效评价结果。根据2019年年初设定的绩效目标，“工作委员会经费”项目自评得分为90分。发现的主要问题：1、预算批复进度缓慢，年底有结余资金；2、绩效目标的设定与该项目的实际进展情况及阶段性目标任务没有完全衔接。下一步改进措施：1、从预算编制环节入手，项目使用管理部门要科学预测、长远规划、及时调整，机关财务部门要与项目使用管理部门及时沟通、信息共享，确保项目经费预算编制科学完整。2、加强项目预算支出管理，项目实施中要全过程跟踪监督，确保项目资金专款专用。</w:t>
      </w:r>
    </w:p>
    <w:p>
      <w:pPr>
        <w:widowControl/>
        <w:spacing w:line="590" w:lineRule="exact"/>
        <w:ind w:firstLine="643" w:firstLineChars="200"/>
        <w:outlineLvl w:val="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（三）以部门为主体开展的重点绩效评价结果。</w:t>
      </w:r>
    </w:p>
    <w:p>
      <w:pPr>
        <w:ind w:firstLine="640" w:firstLineChars="200"/>
        <w:jc w:val="left"/>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许昌市</w:t>
      </w:r>
      <w:r>
        <w:rPr>
          <w:rFonts w:hint="eastAsia" w:ascii="仿宋_GB2312" w:hAnsi="仿宋_GB2312" w:eastAsia="仿宋_GB2312" w:cs="仿宋_GB2312"/>
          <w:color w:val="auto"/>
          <w:sz w:val="32"/>
          <w:szCs w:val="32"/>
          <w:lang w:eastAsia="zh-CN"/>
        </w:rPr>
        <w:t>人民代表大会常务委员会</w:t>
      </w:r>
      <w:r>
        <w:rPr>
          <w:rFonts w:hint="eastAsia" w:ascii="仿宋_GB2312" w:hAnsi="仿宋_GB2312" w:eastAsia="仿宋_GB2312" w:cs="仿宋_GB2312"/>
          <w:color w:val="auto"/>
          <w:sz w:val="32"/>
          <w:szCs w:val="32"/>
        </w:rPr>
        <w:t>在2019年度部门决算中增加“工作委员会经费”项目绩效评价结果。根据2019年年初设定的绩效目标，“工作委员会经费”项目自评得分为90分。发现的主要问题：1、预算批复进度缓慢，年底有结余资金；2、绩效目标的设定与该项目的实际进展情况及阶段性目标任务没有完全衔接。下一步改进措施：1、从预算编制环节入手，项目使用管理部门要科学预测、长远规划、及时调整，机关财务部门要与项目使用管理部门及时沟通、信息共享，确保项目经费预算编制科学完整。2、加强项目预算支出管理，项目实施中要全过程跟踪监督，确保项目资金专款专用。</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九、政府性基金预算财政拨款支出决算情况说明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2019年度政府性基金预算财政拨款支出年初预算为0万元，支出决算为0万元，</w:t>
      </w:r>
      <w:r>
        <w:rPr>
          <w:rFonts w:hint="eastAsia" w:ascii="仿宋_GB2312" w:hAnsi="仿宋_GB2312" w:eastAsia="仿宋_GB2312" w:cs="仿宋_GB2312"/>
          <w:sz w:val="32"/>
          <w:szCs w:val="32"/>
          <w:lang w:val="en-US" w:eastAsia="zh-CN"/>
        </w:rPr>
        <w:t>主要原因为</w:t>
      </w:r>
      <w:r>
        <w:rPr>
          <w:rFonts w:hint="eastAsia" w:ascii="仿宋_GB2312" w:hAnsi="仿宋_GB2312" w:eastAsia="仿宋_GB2312" w:cs="仿宋_GB2312"/>
          <w:sz w:val="32"/>
          <w:szCs w:val="32"/>
        </w:rPr>
        <w:t>我部门2019年度没有政府性基金收入，也没用使用政府性基金安排的支出。</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2019年度机关运行经费年初预算为</w:t>
      </w:r>
      <w:r>
        <w:rPr>
          <w:rFonts w:hint="eastAsia" w:ascii="仿宋_GB2312" w:hAnsi="仿宋_GB2312" w:eastAsia="仿宋_GB2312" w:cs="仿宋_GB2312"/>
          <w:color w:val="auto"/>
          <w:sz w:val="32"/>
          <w:szCs w:val="32"/>
          <w:lang w:val="en-US" w:eastAsia="zh-CN"/>
        </w:rPr>
        <w:t>317.84</w:t>
      </w:r>
      <w:r>
        <w:rPr>
          <w:rFonts w:hint="eastAsia" w:ascii="仿宋_GB2312" w:hAnsi="仿宋_GB2312" w:eastAsia="仿宋_GB2312" w:cs="仿宋_GB2312"/>
          <w:color w:val="auto"/>
          <w:sz w:val="32"/>
          <w:szCs w:val="32"/>
        </w:rPr>
        <w:t>万元，支出决算为435.32万元，完成年初预算的</w:t>
      </w:r>
      <w:r>
        <w:rPr>
          <w:rFonts w:hint="eastAsia" w:ascii="仿宋_GB2312" w:hAnsi="仿宋_GB2312" w:eastAsia="仿宋_GB2312" w:cs="仿宋_GB2312"/>
          <w:color w:val="auto"/>
          <w:sz w:val="32"/>
          <w:szCs w:val="32"/>
          <w:lang w:val="en-US" w:eastAsia="zh-CN"/>
        </w:rPr>
        <w:t>136.96</w:t>
      </w:r>
      <w:r>
        <w:rPr>
          <w:rFonts w:hint="eastAsia" w:ascii="仿宋_GB2312" w:hAnsi="仿宋_GB2312" w:eastAsia="仿宋_GB2312" w:cs="仿宋_GB2312"/>
          <w:color w:val="auto"/>
          <w:sz w:val="32"/>
          <w:szCs w:val="32"/>
        </w:rPr>
        <w:t>%。决算数与年初预算数存在差异的主要原因是使用了部分往年累计结余资金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七届人大四次会会议费未列入预算。</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十一、政府采购支出情况说明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hint="eastAsia" w:ascii="黑体" w:hAnsi="黑体" w:eastAsia="黑体" w:cs="黑体"/>
          <w:color w:val="auto"/>
          <w:sz w:val="32"/>
          <w:szCs w:val="32"/>
        </w:rPr>
      </w:pPr>
      <w:r>
        <w:rPr>
          <w:rFonts w:hint="eastAsia" w:ascii="黑体" w:hAnsi="黑体" w:eastAsia="黑体" w:cs="黑体"/>
          <w:color w:val="auto"/>
          <w:sz w:val="32"/>
          <w:szCs w:val="32"/>
        </w:rPr>
        <w:t>十二、国有资产占用情况说明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期末，我部门共有车辆15辆，其中：省级领导干部用车0辆、主要领导干部用车1辆、机要通信用车1辆、应急保障车12辆、执法执勤用车0辆、特种专业技术用车0辆、离退休干部用车1辆、其他用车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widowControl/>
        <w:jc w:val="left"/>
        <w:rPr>
          <w:rFonts w:hint="eastAsia" w:ascii="黑体" w:hAnsi="宋体" w:eastAsia="黑体" w:cs="宋体"/>
          <w:color w:val="auto"/>
          <w:kern w:val="0"/>
          <w:sz w:val="28"/>
          <w:szCs w:val="28"/>
        </w:rPr>
      </w:pPr>
    </w:p>
    <w:p>
      <w:pPr>
        <w:jc w:val="center"/>
        <w:outlineLvl w:val="0"/>
        <w:rPr>
          <w:rFonts w:hint="eastAsia"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hint="eastAsia" w:ascii="黑体" w:hAnsi="黑体" w:eastAsia="黑体" w:cs="黑体"/>
          <w:color w:val="auto"/>
          <w:sz w:val="48"/>
          <w:szCs w:val="48"/>
        </w:rPr>
      </w:pPr>
    </w:p>
    <w:p>
      <w:pPr>
        <w:jc w:val="center"/>
        <w:outlineLvl w:val="0"/>
        <w:rPr>
          <w:rFonts w:hint="eastAsia"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4950" cy="278765"/>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234950" cy="27876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21.95pt;width:18.5pt;mso-position-horizontal:center;mso-position-horizontal-relative:margin;mso-wrap-style:none;z-index:251660288;mso-width-relative:page;mso-height-relative:page;" filled="f" stroked="f" coordsize="21600,21600" o:gfxdata="UEsDBAoAAAAAAIdO4kAAAAAAAAAAAAAAAAAEAAAAZHJzL1BLAwQUAAAACACHTuJAawmyJdEAAAAD&#10;AQAADwAAAGRycy9kb3ducmV2LnhtbE2PwU7DMBBE70j8g7VI3KjTFtES4vRQqRduLagSNzfexhH2&#10;OrLdNPn7LlzgMtJoVjNvq83onRgwpi6QgvmsAIHUBNNRq+DzY/e0BpGyJqNdIFQwYYJNfX9X6dKE&#10;K+1xOORWcAmlUiuwOfellKmx6HWahR6Js3OIXme2sZUm6iuXeycXRfEive6IF6zucWux+T5cvILV&#10;eAzYJ9zi13loou2mtXuflHp8mBdvIDKO+e8YfvAZHWpmOoULmSScAn4k/ypnyxW7k4Ln5SvIupL/&#10;2esbUEsDBBQAAAAIAIdO4kCtTesE0AEAAJoDAAAOAAAAZHJzL2Uyb0RvYy54bWytU82O0zAQviPx&#10;DpbvNNmw3V2ipitQtQgJAdLCA7iO3Vjynzxuk74AvAEnLtx5rj4HYyfpwnLZAxdnPDP5Zr5vxqvb&#10;wWhyEAGUsw29WJSUCMtdq+yuoV8+3724oQQisy3TzoqGHgXQ2/XzZ6ve16JyndOtCARBLNS9b2gX&#10;o6+LAngnDIOF88JiULpgWMRr2BVtYD2iG11UZXlV9C60PjguANC7GYN0QgxPAXRSKi42ju+NsHFE&#10;DUKziJSgUx7oOncrpeDxo5QgItENRaYxn1gE7W06i/WK1bvAfKf41AJ7SguPOBmmLBY9Q21YZGQf&#10;1D9QRvHgwMm44M4UI5GsCLK4KB9pc98xLzIXlBr8WXT4f7D8w+FTIKptaEWJZQYHfvr+7fTj1+nn&#10;V1KVy8ukUO+hxsR7j6lxeOMG3JvZD+hMxAcZTPoiJYJx1Pd41lcMkXB0Vi8vXy0xwjFUXd9cXy0T&#10;SvHwsw8Q3wpnSDIaGnB8WVV2eA9xTJ1TUi3r7pTWeYTa/uVAzOQpUudjh8mKw3aY6Gxde0Q2PU6+&#10;oRYXnRL9zqKwaUlmI8zGdjb2Pqhdl7co1QP/eh+xidxbqjDCToVxZJndtF5pJ/6856yHJ7X+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sJsiXRAAAAAwEAAA8AAAAAAAAAAQAgAAAAIgAAAGRycy9k&#10;b3ducmV2LnhtbFBLAQIUABQAAAAIAIdO4kCtTesE0AEAAJoDAAAOAAAAAAAAAAEAIAAAACA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B73fHc0QEAAJoDAAAOAAAAZHJzL2Uyb0RvYy54bWytU82O0zAQviPt&#10;O1i+UyeFLRA1Xe2qWoSEAGnhAVzHaSz5Tx63SV8A3oATF+48V59jx07aheWyh70k4/Hkm+/7ZrK8&#10;GowmexlAOVvTclZQIq1wjbLbmn77evvyLSUQuW24dlbW9CCBXq0uXix7X8m565xuZCAIYqHqfU27&#10;GH3FGIhOGg4z56XFy9YFwyMew5Y1gfeIbjSbF8WC9S40PjghATC7Hi/phBieAujaVgm5dmJnpI0j&#10;apCaR5QEnfJAV5lt20oRP7ctyEh0TVFpzE9sgvEmPdlqyatt4L5TYqLAn0LhkSbDlcWmZ6g1j5zs&#10;gvoPyigRHLg2zoQzbBSSHUEVZfHIm7uOe5m1oNXgz6bD88GKT/svgagGN4ESyw0O/Pjzx/HXn+Pv&#10;76Qs5m+SQ72HCgvvPJbG4cYNqXrKAyaT8KENJr1REsF79Pdw9lcOkYj0Ufn63atLSgRelYv55SL7&#10;zx4+9gHie+kMSUFNA44vu8r3HyFiQyw9laRe1t0qrfMItf0ngYUpwxLzkWGK4rAZJtob1xxQTY+T&#10;r6nFRadEf7BobFqSUxBOweYU7HxQ2y5vUeoH/noXkUTmljqMsFNjHFmmPK1X2om/z7nq4Zda3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EtRa10QAAAAMBAAAPAAAAAAAAAAEAIAAAACIAAABkcnMv&#10;ZG93bnJldi54bWxQSwECFAAUAAAACACHTuJAe93x3NEBAACaAwAADgAAAAAAAAABACAAAAAgAQAA&#10;ZHJzL2Uyb0RvYy54bWxQSwUGAAAAAAYABgBZAQAAY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7490" cy="278765"/>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237490" cy="27876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21.95pt;width:18.7pt;mso-position-horizontal:center;mso-position-horizontal-relative:margin;mso-wrap-style:none;z-index:251661312;mso-width-relative:page;mso-height-relative:page;" filled="f" stroked="f" coordsize="21600,21600" o:gfxdata="UEsDBAoAAAAAAIdO4kAAAAAAAAAAAAAAAAAEAAAAZHJzL1BLAwQUAAAACACHTuJALmLzRNIAAAAD&#10;AQAADwAAAGRycy9kb3ducmV2LnhtbE2PzU7DMBCE70h9B2uRuFGnP6IlxOmhEhduLQiJmxtv4wh7&#10;Hdlumrw9Wy5wWWk0o5lvq93onRgwpi6QgsW8AIHUBNNRq+Dj/fVxCyJlTUa7QKhgwgS7enZX6dKE&#10;Kx1wOOZWcAmlUiuwOfellKmx6HWahx6JvXOIXmeWsZUm6iuXeyeXRfEkve6IF6zucW+x+T5evILN&#10;+BmwT7jHr/PQRNtNW/c2KfVwvyheQGQc818YbviMDjUzncKFTBJOAT+Sfy97q80axEnBevUMsq7k&#10;f/b6B1BLAwQUAAAACACHTuJALC6kHdEBAACaAwAADgAAAGRycy9lMm9Eb2MueG1srVPNjtMwEL4j&#10;8Q6W7zTZLLtdoqYrULUICQHSwgO4jt1Y8p88bpO+ALwBJy7cea4+B2Mn6cJy2QOXdDIz/eb7vpms&#10;bgejyUEEUM429GJRUiIsd62yu4Z++Xz34oYSiMy2TDsrGnoUQG/Xz5+tel+LynVOtyIQBLFQ976h&#10;XYy+LgrgnTAMFs4Li0XpgmERX8OuaAPrEd3ooirL66J3ofXBcQGA2c1YpBNieAqgk1JxsXF8b4SN&#10;I2oQmkWUBJ3yQNeZrZSCx49SgohENxSVxvzEIRhv07NYr1i9C8x3ik8U2FMoPNJkmLI49Ay1YZGR&#10;fVD/QBnFgwMn44I7U4xCsiOo4qJ85M19x7zIWtBq8GfT4f/B8g+HT4GotqGXlFhmcOGn799OP36d&#10;fn4lVXl1lRzqPdTYeO+xNQ5v3IB3M+cBk0n4IINJvyiJYB39PZ79FUMkHJPV5fLlK6xwLFXLm+V1&#10;Ri8e/uwDxLfCGZKChgZcX3aVHd5DRCLYOrekWdbdKa3zCrX9K4GNKVMk5iPDFMVhO0xytq49opoe&#10;N99Qi4dOiX5n0dh0JHMQ5mA7B3sf1K7LV5TmgX+9j0gic0sTRthpMK4sU57OK93En++56+GTW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mLzRNIAAAADAQAADwAAAAAAAAABACAAAAAiAAAAZHJz&#10;L2Rvd25yZXYueG1sUEsBAhQAFAAAAAgAh07iQCwupB3RAQAAmgMAAA4AAAAAAAAAAQAgAAAAIQEA&#10;AGRycy9lMm9Eb2MueG1sUEsFBgAAAAAGAAYAWQEAAGQ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8E259B"/>
    <w:rsid w:val="31327705"/>
    <w:rsid w:val="346B786B"/>
    <w:rsid w:val="37C167FD"/>
    <w:rsid w:val="3B10449D"/>
    <w:rsid w:val="3DA13B05"/>
    <w:rsid w:val="435E2E7E"/>
    <w:rsid w:val="4D37071E"/>
    <w:rsid w:val="4F1E6E93"/>
    <w:rsid w:val="562D7D52"/>
    <w:rsid w:val="5BD842ED"/>
    <w:rsid w:val="67142A75"/>
    <w:rsid w:val="741A10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beforeLines="0" w:after="330" w:afterLines="0" w:line="578"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7"/>
    <w:qFormat/>
    <w:uiPriority w:val="0"/>
    <w:rPr>
      <w:kern w:val="2"/>
      <w:sz w:val="18"/>
      <w:szCs w:val="18"/>
    </w:rPr>
  </w:style>
  <w:style w:type="paragraph" w:styleId="5">
    <w:name w:val="footer"/>
    <w:basedOn w:val="1"/>
    <w:link w:val="19"/>
    <w:qFormat/>
    <w:uiPriority w:val="0"/>
    <w:pPr>
      <w:tabs>
        <w:tab w:val="center" w:pos="4153"/>
        <w:tab w:val="right" w:pos="8306"/>
      </w:tabs>
      <w:snapToGrid w:val="0"/>
      <w:jc w:val="left"/>
    </w:pPr>
    <w:rPr>
      <w:kern w:val="2"/>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qFormat/>
    <w:uiPriority w:val="0"/>
    <w:pPr>
      <w:snapToGrid w:val="0"/>
      <w:jc w:val="left"/>
    </w:pPr>
    <w:rPr>
      <w:sz w:val="18"/>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footnote reference"/>
    <w:basedOn w:val="9"/>
    <w:qFormat/>
    <w:uiPriority w:val="0"/>
    <w:rPr>
      <w:vertAlign w:val="superscript"/>
    </w:rPr>
  </w:style>
  <w:style w:type="paragraph" w:customStyle="1" w:styleId="13">
    <w:name w:val="标题1"/>
    <w:basedOn w:val="2"/>
    <w:qFormat/>
    <w:uiPriority w:val="0"/>
    <w:pPr>
      <w:spacing w:before="0" w:beforeLines="0" w:after="0" w:afterLines="0" w:line="240" w:lineRule="auto"/>
      <w:jc w:val="center"/>
    </w:pPr>
    <w:rPr>
      <w:rFonts w:ascii="华文中宋" w:hAnsi="华文中宋" w:eastAsia="华文中宋"/>
      <w:sz w:val="36"/>
      <w:szCs w:val="36"/>
    </w:rPr>
  </w:style>
  <w:style w:type="character" w:customStyle="1" w:styleId="14">
    <w:name w:val="font11"/>
    <w:basedOn w:val="9"/>
    <w:qFormat/>
    <w:uiPriority w:val="0"/>
    <w:rPr>
      <w:rFonts w:hint="eastAsia" w:ascii="宋体" w:hAnsi="宋体" w:eastAsia="宋体" w:cs="宋体"/>
      <w:color w:val="000000"/>
      <w:sz w:val="20"/>
      <w:szCs w:val="20"/>
      <w:u w:val="none"/>
    </w:rPr>
  </w:style>
  <w:style w:type="character" w:customStyle="1" w:styleId="15">
    <w:name w:val="font51"/>
    <w:basedOn w:val="9"/>
    <w:qFormat/>
    <w:uiPriority w:val="0"/>
    <w:rPr>
      <w:rFonts w:hint="eastAsia" w:ascii="宋体" w:hAnsi="宋体" w:eastAsia="宋体" w:cs="宋体"/>
      <w:color w:val="000000"/>
      <w:sz w:val="24"/>
      <w:szCs w:val="24"/>
      <w:u w:val="none"/>
    </w:rPr>
  </w:style>
  <w:style w:type="character" w:customStyle="1" w:styleId="16">
    <w:name w:val="页眉 Char Char"/>
    <w:link w:val="6"/>
    <w:qFormat/>
    <w:uiPriority w:val="0"/>
    <w:rPr>
      <w:kern w:val="2"/>
      <w:sz w:val="18"/>
      <w:szCs w:val="18"/>
    </w:rPr>
  </w:style>
  <w:style w:type="character" w:customStyle="1" w:styleId="17">
    <w:name w:val="批注框文本 Char Char"/>
    <w:basedOn w:val="9"/>
    <w:link w:val="4"/>
    <w:qFormat/>
    <w:uiPriority w:val="0"/>
    <w:rPr>
      <w:kern w:val="2"/>
      <w:sz w:val="18"/>
      <w:szCs w:val="18"/>
    </w:rPr>
  </w:style>
  <w:style w:type="character" w:customStyle="1" w:styleId="18">
    <w:name w:val="font21"/>
    <w:basedOn w:val="9"/>
    <w:qFormat/>
    <w:uiPriority w:val="0"/>
    <w:rPr>
      <w:rFonts w:hint="eastAsia" w:ascii="宋体" w:hAnsi="宋体" w:eastAsia="宋体" w:cs="宋体"/>
      <w:color w:val="000000"/>
      <w:sz w:val="22"/>
      <w:szCs w:val="22"/>
      <w:u w:val="none"/>
    </w:rPr>
  </w:style>
  <w:style w:type="character" w:customStyle="1" w:styleId="19">
    <w:name w:val="页脚 Char Char"/>
    <w:link w:val="5"/>
    <w:qFormat/>
    <w:uiPriority w:val="0"/>
    <w:rPr>
      <w:kern w:val="2"/>
      <w:sz w:val="18"/>
      <w:szCs w:val="18"/>
    </w:rPr>
  </w:style>
  <w:style w:type="character" w:customStyle="1" w:styleId="20">
    <w:name w:val="font41"/>
    <w:basedOn w:val="9"/>
    <w:qFormat/>
    <w:uiPriority w:val="0"/>
    <w:rPr>
      <w:rFonts w:hint="eastAsia" w:ascii="宋体" w:hAnsi="宋体" w:eastAsia="宋体" w:cs="宋体"/>
      <w:color w:val="000000"/>
      <w:sz w:val="24"/>
      <w:szCs w:val="24"/>
      <w:u w:val="none"/>
    </w:rPr>
  </w:style>
  <w:style w:type="character" w:customStyle="1" w:styleId="21">
    <w:name w:val="font0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1940</Words>
  <Characters>11063</Characters>
  <Lines>92</Lines>
  <Paragraphs>25</Paragraphs>
  <TotalTime>0</TotalTime>
  <ScaleCrop>false</ScaleCrop>
  <LinksUpToDate>false</LinksUpToDate>
  <CharactersWithSpaces>12978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许</cp:lastModifiedBy>
  <cp:lastPrinted>2020-09-03T09:46:00Z</cp:lastPrinted>
  <dcterms:modified xsi:type="dcterms:W3CDTF">2021-05-31T09:52:05Z</dcterms:modified>
  <dc:title>2019年度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38AE9627DFF54BB69FDDC4C7BE85B8A0</vt:lpwstr>
  </property>
</Properties>
</file>